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E8" w:rsidRDefault="00B40F79">
      <w:r>
        <w:rPr>
          <w:noProof/>
          <w:lang w:eastAsia="tr-TR"/>
        </w:rPr>
        <w:drawing>
          <wp:inline distT="0" distB="0" distL="0" distR="0">
            <wp:extent cx="5760720" cy="100520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-antet-12temmu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E3" w:rsidRPr="00185DFE" w:rsidRDefault="00BD1EE3" w:rsidP="00BD1EE3">
      <w:pPr>
        <w:rPr>
          <w:b/>
          <w:szCs w:val="24"/>
        </w:rPr>
      </w:pPr>
      <w:r>
        <w:rPr>
          <w:b/>
          <w:szCs w:val="24"/>
        </w:rPr>
        <w:t>TITLE OF</w:t>
      </w:r>
      <w:r w:rsidRPr="00185DFE">
        <w:rPr>
          <w:b/>
          <w:szCs w:val="24"/>
        </w:rPr>
        <w:t xml:space="preserve"> ARTICLE (11 punto, </w:t>
      </w:r>
      <w:proofErr w:type="spellStart"/>
      <w:r w:rsidRPr="00185DFE">
        <w:rPr>
          <w:b/>
          <w:szCs w:val="24"/>
        </w:rPr>
        <w:t>capital</w:t>
      </w:r>
      <w:proofErr w:type="spellEnd"/>
      <w:r w:rsidRPr="00185DFE">
        <w:rPr>
          <w:b/>
          <w:szCs w:val="24"/>
        </w:rPr>
        <w:t xml:space="preserve"> </w:t>
      </w:r>
      <w:proofErr w:type="spellStart"/>
      <w:r w:rsidRPr="00185DFE">
        <w:rPr>
          <w:b/>
          <w:szCs w:val="24"/>
        </w:rPr>
        <w:t>letters</w:t>
      </w:r>
      <w:proofErr w:type="spellEnd"/>
      <w:r w:rsidRPr="00185DFE">
        <w:rPr>
          <w:b/>
          <w:szCs w:val="24"/>
        </w:rPr>
        <w:t xml:space="preserve">, </w:t>
      </w:r>
      <w:proofErr w:type="spellStart"/>
      <w:r w:rsidRPr="00185DFE">
        <w:rPr>
          <w:b/>
          <w:szCs w:val="24"/>
        </w:rPr>
        <w:t>bold</w:t>
      </w:r>
      <w:proofErr w:type="spellEnd"/>
      <w:r w:rsidRPr="00185DFE">
        <w:rPr>
          <w:b/>
          <w:szCs w:val="24"/>
        </w:rPr>
        <w:t xml:space="preserve">, </w:t>
      </w:r>
      <w:proofErr w:type="spellStart"/>
      <w:r w:rsidRPr="00185DFE">
        <w:rPr>
          <w:b/>
          <w:szCs w:val="24"/>
        </w:rPr>
        <w:t>calibri</w:t>
      </w:r>
      <w:proofErr w:type="spellEnd"/>
      <w:r w:rsidRPr="00185DFE">
        <w:rPr>
          <w:b/>
          <w:szCs w:val="24"/>
        </w:rPr>
        <w:t xml:space="preserve">, </w:t>
      </w:r>
      <w:proofErr w:type="spellStart"/>
      <w:r w:rsidRPr="00185DFE">
        <w:rPr>
          <w:b/>
          <w:szCs w:val="24"/>
        </w:rPr>
        <w:t>single</w:t>
      </w:r>
      <w:proofErr w:type="spellEnd"/>
      <w:r w:rsidRPr="00185DFE">
        <w:rPr>
          <w:b/>
          <w:szCs w:val="24"/>
        </w:rPr>
        <w:t xml:space="preserve"> </w:t>
      </w:r>
      <w:proofErr w:type="spellStart"/>
      <w:r w:rsidRPr="00185DFE">
        <w:rPr>
          <w:b/>
          <w:szCs w:val="24"/>
        </w:rPr>
        <w:t>space</w:t>
      </w:r>
      <w:proofErr w:type="spellEnd"/>
      <w:r w:rsidRPr="00185DFE">
        <w:rPr>
          <w:b/>
          <w:szCs w:val="24"/>
        </w:rPr>
        <w:t>)</w:t>
      </w:r>
    </w:p>
    <w:p w:rsidR="00BD1EE3" w:rsidRDefault="00BD1EE3" w:rsidP="00BD1EE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DOI: </w:t>
      </w:r>
      <w:proofErr w:type="gramStart"/>
      <w:r>
        <w:rPr>
          <w:b/>
          <w:sz w:val="18"/>
          <w:szCs w:val="18"/>
        </w:rPr>
        <w:t>10.17261</w:t>
      </w:r>
      <w:proofErr w:type="gramEnd"/>
      <w:r>
        <w:rPr>
          <w:b/>
          <w:sz w:val="18"/>
          <w:szCs w:val="18"/>
        </w:rPr>
        <w:t>/Pressacademia.2019.</w:t>
      </w:r>
    </w:p>
    <w:p w:rsidR="00BD1EE3" w:rsidRPr="002A1DB6" w:rsidRDefault="00FB67BC" w:rsidP="00BD1EE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PAP-IFC</w:t>
      </w:r>
      <w:r w:rsidR="00BD1EE3">
        <w:rPr>
          <w:b/>
          <w:sz w:val="18"/>
          <w:szCs w:val="18"/>
        </w:rPr>
        <w:t>- V.</w:t>
      </w:r>
      <w:r>
        <w:rPr>
          <w:b/>
          <w:sz w:val="18"/>
          <w:szCs w:val="18"/>
        </w:rPr>
        <w:t>10</w:t>
      </w:r>
      <w:r w:rsidR="00BD1EE3">
        <w:rPr>
          <w:b/>
          <w:sz w:val="18"/>
          <w:szCs w:val="18"/>
        </w:rPr>
        <w:t>-201</w:t>
      </w:r>
      <w:r>
        <w:rPr>
          <w:b/>
          <w:sz w:val="18"/>
          <w:szCs w:val="18"/>
        </w:rPr>
        <w:t>9</w:t>
      </w:r>
      <w:r w:rsidR="00BD1EE3">
        <w:rPr>
          <w:b/>
          <w:sz w:val="18"/>
          <w:szCs w:val="18"/>
        </w:rPr>
        <w:t>(1)-p.</w:t>
      </w:r>
    </w:p>
    <w:p w:rsidR="00BD1EE3" w:rsidRPr="002A1DB6" w:rsidRDefault="00BD1EE3" w:rsidP="00BD1EE3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Name of Author-1,  Name of Author-2</w:t>
      </w:r>
      <w:proofErr w:type="gramStart"/>
      <w:r>
        <w:rPr>
          <w:b/>
          <w:sz w:val="18"/>
          <w:szCs w:val="18"/>
        </w:rPr>
        <w:t>,……..</w:t>
      </w:r>
      <w:proofErr w:type="gramEnd"/>
      <w:r>
        <w:rPr>
          <w:b/>
          <w:sz w:val="18"/>
          <w:szCs w:val="18"/>
        </w:rPr>
        <w:t xml:space="preserve"> (9 </w:t>
      </w:r>
      <w:r w:rsidRPr="002A1DB6">
        <w:rPr>
          <w:b/>
          <w:sz w:val="18"/>
          <w:szCs w:val="18"/>
        </w:rPr>
        <w:t xml:space="preserve">punto, </w:t>
      </w:r>
      <w:proofErr w:type="spellStart"/>
      <w:r w:rsidRPr="002A1DB6">
        <w:rPr>
          <w:b/>
          <w:sz w:val="18"/>
          <w:szCs w:val="18"/>
        </w:rPr>
        <w:t>lowercase</w:t>
      </w:r>
      <w:proofErr w:type="spellEnd"/>
      <w:r w:rsidRPr="002A1DB6">
        <w:rPr>
          <w:b/>
          <w:sz w:val="18"/>
          <w:szCs w:val="18"/>
        </w:rPr>
        <w:t xml:space="preserve"> </w:t>
      </w:r>
      <w:proofErr w:type="spellStart"/>
      <w:r w:rsidRPr="002A1DB6">
        <w:rPr>
          <w:b/>
          <w:sz w:val="18"/>
          <w:szCs w:val="18"/>
        </w:rPr>
        <w:t>letter</w:t>
      </w:r>
      <w:r>
        <w:rPr>
          <w:b/>
          <w:sz w:val="18"/>
          <w:szCs w:val="18"/>
        </w:rPr>
        <w:t>s</w:t>
      </w:r>
      <w:proofErr w:type="spellEnd"/>
      <w:r w:rsidRPr="002A1DB6">
        <w:rPr>
          <w:b/>
          <w:sz w:val="18"/>
          <w:szCs w:val="18"/>
        </w:rPr>
        <w:t xml:space="preserve">, </w:t>
      </w:r>
      <w:bookmarkStart w:id="0" w:name="_GoBack"/>
      <w:bookmarkEnd w:id="0"/>
      <w:proofErr w:type="spellStart"/>
      <w:r w:rsidRPr="002A1DB6">
        <w:rPr>
          <w:b/>
          <w:sz w:val="18"/>
          <w:szCs w:val="18"/>
        </w:rPr>
        <w:t>bold</w:t>
      </w:r>
      <w:proofErr w:type="spellEnd"/>
      <w:r w:rsidRPr="002A1DB6">
        <w:rPr>
          <w:b/>
          <w:sz w:val="18"/>
          <w:szCs w:val="18"/>
        </w:rPr>
        <w:t xml:space="preserve">, </w:t>
      </w:r>
      <w:proofErr w:type="spellStart"/>
      <w:r w:rsidRPr="002A1DB6">
        <w:rPr>
          <w:b/>
          <w:sz w:val="18"/>
          <w:szCs w:val="18"/>
        </w:rPr>
        <w:t>calibri</w:t>
      </w:r>
      <w:proofErr w:type="spellEnd"/>
      <w:r w:rsidRPr="002A1DB6">
        <w:rPr>
          <w:b/>
          <w:sz w:val="18"/>
          <w:szCs w:val="18"/>
        </w:rPr>
        <w:t>)</w:t>
      </w:r>
    </w:p>
    <w:p w:rsidR="00BD1EE3" w:rsidRDefault="00BD1EE3" w:rsidP="00BD1EE3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(8 punto, </w:t>
      </w:r>
      <w:proofErr w:type="spellStart"/>
      <w:r>
        <w:rPr>
          <w:sz w:val="16"/>
        </w:rPr>
        <w:t>lowercase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letter</w:t>
      </w:r>
      <w:proofErr w:type="spellEnd"/>
      <w:r>
        <w:rPr>
          <w:sz w:val="16"/>
        </w:rPr>
        <w:t xml:space="preserve">, </w:t>
      </w:r>
      <w:proofErr w:type="spellStart"/>
      <w:r w:rsidRPr="007E2271">
        <w:rPr>
          <w:sz w:val="16"/>
        </w:rPr>
        <w:t>calibri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single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space</w:t>
      </w:r>
      <w:proofErr w:type="spellEnd"/>
      <w:r w:rsidRPr="007E2271">
        <w:rPr>
          <w:sz w:val="16"/>
        </w:rPr>
        <w:t>)</w:t>
      </w:r>
    </w:p>
    <w:p w:rsidR="00BD1EE3" w:rsidRDefault="00BD1EE3" w:rsidP="00BD1EE3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 xml:space="preserve">, postal </w:t>
      </w:r>
      <w:proofErr w:type="spellStart"/>
      <w:r>
        <w:rPr>
          <w:sz w:val="16"/>
        </w:rPr>
        <w:t>address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city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country</w:t>
      </w:r>
      <w:proofErr w:type="spellEnd"/>
      <w:r>
        <w:rPr>
          <w:sz w:val="16"/>
        </w:rPr>
        <w:t xml:space="preserve"> of AUTHOR-1</w:t>
      </w:r>
    </w:p>
    <w:p w:rsidR="00BD1EE3" w:rsidRPr="007E2271" w:rsidRDefault="00BD1EE3" w:rsidP="00BD1EE3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Email</w:t>
      </w:r>
      <w:r>
        <w:rPr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AUTHOR-1</w:t>
      </w:r>
    </w:p>
    <w:p w:rsidR="00BD1EE3" w:rsidRDefault="00BD1EE3" w:rsidP="00BD1EE3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 xml:space="preserve">, postal </w:t>
      </w:r>
      <w:proofErr w:type="spellStart"/>
      <w:r>
        <w:rPr>
          <w:sz w:val="16"/>
        </w:rPr>
        <w:t>address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city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country</w:t>
      </w:r>
      <w:proofErr w:type="spellEnd"/>
      <w:r>
        <w:rPr>
          <w:sz w:val="16"/>
        </w:rPr>
        <w:t xml:space="preserve"> of AUTHOR-2</w:t>
      </w:r>
    </w:p>
    <w:p w:rsidR="00BD1EE3" w:rsidRDefault="00BD1EE3" w:rsidP="00BD1EE3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Email</w:t>
      </w:r>
      <w:r>
        <w:rPr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AUTHOR-2</w:t>
      </w:r>
    </w:p>
    <w:p w:rsidR="00BD1EE3" w:rsidRPr="007E2271" w:rsidRDefault="00BD1EE3" w:rsidP="00BD1EE3">
      <w:pPr>
        <w:pBdr>
          <w:bottom w:val="single" w:sz="12" w:space="1" w:color="auto"/>
        </w:pBdr>
        <w:spacing w:after="0"/>
        <w:rPr>
          <w:sz w:val="16"/>
        </w:rPr>
      </w:pPr>
      <w:proofErr w:type="gramStart"/>
      <w:r>
        <w:rPr>
          <w:sz w:val="16"/>
        </w:rPr>
        <w:t>…….</w:t>
      </w:r>
      <w:proofErr w:type="gramEnd"/>
    </w:p>
    <w:p w:rsidR="00BD1EE3" w:rsidRPr="00291762" w:rsidRDefault="00BD1EE3" w:rsidP="00BD1EE3">
      <w:pPr>
        <w:pBdr>
          <w:bottom w:val="single" w:sz="12" w:space="1" w:color="auto"/>
        </w:pBdr>
        <w:spacing w:after="0"/>
        <w:rPr>
          <w:sz w:val="6"/>
        </w:rPr>
      </w:pPr>
    </w:p>
    <w:p w:rsidR="00BD1EE3" w:rsidRPr="00A27217" w:rsidRDefault="00BD1EE3" w:rsidP="00BD1EE3">
      <w:pPr>
        <w:spacing w:after="0"/>
        <w:rPr>
          <w:rFonts w:eastAsia="Times New Roman"/>
          <w:b/>
          <w:sz w:val="4"/>
          <w:lang w:val="en-GB"/>
        </w:rPr>
      </w:pPr>
    </w:p>
    <w:p w:rsidR="00BD1EE3" w:rsidRPr="002A1DB6" w:rsidRDefault="00BD1EE3" w:rsidP="00BD1EE3">
      <w:pPr>
        <w:pBdr>
          <w:bottom w:val="single" w:sz="12" w:space="1" w:color="auto"/>
        </w:pBdr>
        <w:spacing w:after="0" w:line="240" w:lineRule="auto"/>
        <w:rPr>
          <w:b/>
          <w:sz w:val="16"/>
          <w:lang w:val="en-GB"/>
        </w:rPr>
      </w:pPr>
      <w:r w:rsidRPr="002A1DB6">
        <w:rPr>
          <w:b/>
          <w:sz w:val="16"/>
          <w:lang w:val="en-GB"/>
        </w:rPr>
        <w:t>To cite this document</w:t>
      </w:r>
      <w:r>
        <w:rPr>
          <w:b/>
          <w:sz w:val="16"/>
          <w:lang w:val="en-GB"/>
        </w:rPr>
        <w:t xml:space="preserve"> </w:t>
      </w:r>
      <w:r w:rsidRPr="00A27217">
        <w:rPr>
          <w:sz w:val="16"/>
          <w:lang w:val="en-GB"/>
        </w:rPr>
        <w:t xml:space="preserve">(8 </w:t>
      </w:r>
      <w:proofErr w:type="spellStart"/>
      <w:r w:rsidRPr="00A27217">
        <w:rPr>
          <w:sz w:val="16"/>
          <w:lang w:val="en-GB"/>
        </w:rPr>
        <w:t>punto</w:t>
      </w:r>
      <w:proofErr w:type="spellEnd"/>
      <w:r w:rsidRPr="00A27217">
        <w:rPr>
          <w:sz w:val="16"/>
          <w:lang w:val="en-GB"/>
        </w:rPr>
        <w:t xml:space="preserve">, </w:t>
      </w:r>
      <w:proofErr w:type="spellStart"/>
      <w:r w:rsidRPr="00A27217">
        <w:rPr>
          <w:sz w:val="16"/>
          <w:lang w:val="en-GB"/>
        </w:rPr>
        <w:t>calibri</w:t>
      </w:r>
      <w:proofErr w:type="spellEnd"/>
      <w:r w:rsidRPr="00A27217">
        <w:rPr>
          <w:sz w:val="16"/>
          <w:lang w:val="en-GB"/>
        </w:rPr>
        <w:t>, lowercase letters, single space)</w:t>
      </w:r>
    </w:p>
    <w:p w:rsidR="00BD1EE3" w:rsidRDefault="00BD1EE3" w:rsidP="00BD1EE3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proofErr w:type="gramStart"/>
      <w:r>
        <w:rPr>
          <w:sz w:val="16"/>
          <w:lang w:val="en-GB"/>
        </w:rPr>
        <w:t>Last Name, First Name of Author -1, Last Name, First Name of Author 2</w:t>
      </w:r>
      <w:r w:rsidRPr="008E0E37">
        <w:rPr>
          <w:sz w:val="16"/>
          <w:lang w:val="en-GB"/>
        </w:rPr>
        <w:t xml:space="preserve"> </w:t>
      </w:r>
      <w:r>
        <w:rPr>
          <w:sz w:val="16"/>
          <w:lang w:val="en-GB"/>
        </w:rPr>
        <w:t>(201</w:t>
      </w:r>
      <w:r w:rsidRPr="008E0E37">
        <w:rPr>
          <w:sz w:val="16"/>
          <w:lang w:val="en-GB"/>
        </w:rPr>
        <w:t>8</w:t>
      </w:r>
      <w:r>
        <w:rPr>
          <w:sz w:val="16"/>
          <w:lang w:val="en-GB"/>
        </w:rPr>
        <w:t>)</w:t>
      </w:r>
      <w:r w:rsidRPr="008E0E37">
        <w:rPr>
          <w:sz w:val="16"/>
          <w:lang w:val="en-GB"/>
        </w:rPr>
        <w:t>.</w:t>
      </w:r>
      <w:proofErr w:type="gramEnd"/>
      <w:r w:rsidRPr="008E0E37">
        <w:rPr>
          <w:sz w:val="16"/>
          <w:lang w:val="en-GB"/>
        </w:rPr>
        <w:t xml:space="preserve"> Title of your paper</w:t>
      </w:r>
      <w:r>
        <w:rPr>
          <w:sz w:val="16"/>
          <w:lang w:val="en-GB"/>
        </w:rPr>
        <w:t>………………….</w:t>
      </w:r>
    </w:p>
    <w:p w:rsidR="00BD1EE3" w:rsidRPr="00D904E4" w:rsidRDefault="00BD1EE3" w:rsidP="00BD1EE3">
      <w:pPr>
        <w:pBdr>
          <w:bottom w:val="single" w:sz="12" w:space="1" w:color="auto"/>
        </w:pBdr>
        <w:spacing w:after="0" w:line="240" w:lineRule="auto"/>
        <w:rPr>
          <w:sz w:val="14"/>
          <w:lang w:val="en-GB"/>
        </w:rPr>
      </w:pPr>
      <w:proofErr w:type="spellStart"/>
      <w:r>
        <w:rPr>
          <w:sz w:val="16"/>
          <w:lang w:val="en-GB"/>
        </w:rPr>
        <w:t>PressAcademia</w:t>
      </w:r>
      <w:proofErr w:type="spellEnd"/>
      <w:r>
        <w:rPr>
          <w:sz w:val="16"/>
          <w:lang w:val="en-GB"/>
        </w:rPr>
        <w:t xml:space="preserve"> Procedia (PAP), </w:t>
      </w:r>
      <w:proofErr w:type="gramStart"/>
      <w:r>
        <w:rPr>
          <w:sz w:val="16"/>
          <w:lang w:val="en-GB"/>
        </w:rPr>
        <w:t>V.8(</w:t>
      </w:r>
      <w:proofErr w:type="gramEnd"/>
      <w:r>
        <w:rPr>
          <w:sz w:val="16"/>
          <w:lang w:val="en-GB"/>
        </w:rPr>
        <w:t>3)</w:t>
      </w:r>
      <w:r w:rsidRPr="002A1DB6">
        <w:rPr>
          <w:sz w:val="16"/>
          <w:lang w:val="en-GB"/>
        </w:rPr>
        <w:t>, p.</w:t>
      </w:r>
      <w:r>
        <w:rPr>
          <w:sz w:val="16"/>
          <w:lang w:val="en-GB"/>
        </w:rPr>
        <w:t xml:space="preserve">?????, </w:t>
      </w:r>
      <w:r w:rsidRPr="00D904E4">
        <w:rPr>
          <w:b/>
          <w:sz w:val="18"/>
          <w:szCs w:val="18"/>
        </w:rPr>
        <w:t xml:space="preserve"> </w:t>
      </w:r>
      <w:r w:rsidRPr="00D904E4">
        <w:rPr>
          <w:sz w:val="16"/>
          <w:szCs w:val="18"/>
        </w:rPr>
        <w:t>DOI: 10.17261/Pressacademia.2018…</w:t>
      </w:r>
    </w:p>
    <w:p w:rsidR="00BD1EE3" w:rsidRDefault="00BD1EE3" w:rsidP="00BD1EE3">
      <w:pPr>
        <w:pBdr>
          <w:bottom w:val="single" w:sz="12" w:space="1" w:color="auto"/>
        </w:pBdr>
        <w:spacing w:after="0" w:line="240" w:lineRule="auto"/>
        <w:rPr>
          <w:color w:val="0000FF"/>
          <w:sz w:val="16"/>
          <w:u w:val="single"/>
          <w:lang w:val="en-GB"/>
        </w:rPr>
      </w:pPr>
      <w:proofErr w:type="spellStart"/>
      <w:r w:rsidRPr="002A1DB6">
        <w:rPr>
          <w:b/>
          <w:sz w:val="16"/>
          <w:lang w:val="en-GB"/>
        </w:rPr>
        <w:t>Permemant</w:t>
      </w:r>
      <w:proofErr w:type="spellEnd"/>
      <w:r w:rsidRPr="002A1DB6">
        <w:rPr>
          <w:b/>
          <w:sz w:val="16"/>
          <w:lang w:val="en-GB"/>
        </w:rPr>
        <w:t xml:space="preserve"> link to this document:</w:t>
      </w:r>
      <w:r w:rsidRPr="002A1DB6">
        <w:rPr>
          <w:sz w:val="16"/>
          <w:lang w:val="en-GB"/>
        </w:rPr>
        <w:t xml:space="preserve"> </w:t>
      </w:r>
      <w:r w:rsidRPr="002A1DB6">
        <w:rPr>
          <w:color w:val="0000FF"/>
          <w:sz w:val="16"/>
          <w:u w:val="single"/>
          <w:lang w:val="en-GB"/>
        </w:rPr>
        <w:t>http://doi.org</w:t>
      </w:r>
      <w:r>
        <w:rPr>
          <w:color w:val="0000FF"/>
          <w:sz w:val="16"/>
          <w:u w:val="single"/>
          <w:lang w:val="en-GB"/>
        </w:rPr>
        <w:t>/10.17261/Pressacademia.2018.</w:t>
      </w:r>
    </w:p>
    <w:p w:rsidR="00BD1EE3" w:rsidRDefault="00BD1EE3" w:rsidP="00BD1EE3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 w:rsidRPr="002A1DB6">
        <w:rPr>
          <w:b/>
          <w:sz w:val="16"/>
          <w:lang w:val="en-GB"/>
        </w:rPr>
        <w:t xml:space="preserve">Copyright: </w:t>
      </w:r>
      <w:r w:rsidRPr="002A1DB6">
        <w:rPr>
          <w:sz w:val="16"/>
          <w:lang w:val="en-GB"/>
        </w:rPr>
        <w:t xml:space="preserve">Published by </w:t>
      </w:r>
      <w:proofErr w:type="spellStart"/>
      <w:r w:rsidRPr="002A1DB6">
        <w:rPr>
          <w:sz w:val="16"/>
          <w:lang w:val="en-GB"/>
        </w:rPr>
        <w:t>PressAcademia</w:t>
      </w:r>
      <w:proofErr w:type="spellEnd"/>
      <w:r w:rsidRPr="002A1DB6">
        <w:rPr>
          <w:sz w:val="16"/>
          <w:lang w:val="en-GB"/>
        </w:rPr>
        <w:t xml:space="preserve"> and limited licenced re-use rights only</w:t>
      </w:r>
      <w:r>
        <w:rPr>
          <w:sz w:val="16"/>
          <w:lang w:val="en-GB"/>
        </w:rPr>
        <w:t>.</w:t>
      </w:r>
    </w:p>
    <w:p w:rsidR="00BD1EE3" w:rsidRPr="00A27217" w:rsidRDefault="00BD1EE3" w:rsidP="00BD1EE3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:rsidR="00BD1EE3" w:rsidRPr="00A27217" w:rsidRDefault="00BD1EE3" w:rsidP="00BD1EE3">
      <w:pPr>
        <w:spacing w:after="0"/>
        <w:rPr>
          <w:rFonts w:eastAsia="Times New Roman"/>
          <w:b/>
          <w:sz w:val="10"/>
          <w:lang w:val="en-GB"/>
        </w:rPr>
      </w:pPr>
    </w:p>
    <w:p w:rsidR="00BD1EE3" w:rsidRPr="00A35EB3" w:rsidRDefault="00BD1EE3" w:rsidP="00BD1EE3">
      <w:pPr>
        <w:spacing w:after="0"/>
        <w:rPr>
          <w:rFonts w:eastAsia="Times New Roman"/>
          <w:b/>
          <w:sz w:val="24"/>
          <w:lang w:val="en-GB"/>
        </w:rPr>
      </w:pPr>
      <w:r w:rsidRPr="002A1DB6">
        <w:rPr>
          <w:rFonts w:eastAsia="Times New Roman"/>
          <w:b/>
          <w:sz w:val="20"/>
          <w:lang w:val="en-GB"/>
        </w:rPr>
        <w:t>ABSTRACT</w:t>
      </w:r>
      <w:r w:rsidRPr="00A35EB3">
        <w:rPr>
          <w:rFonts w:eastAsia="Times New Roman"/>
          <w:b/>
          <w:sz w:val="24"/>
          <w:lang w:val="en-GB"/>
        </w:rPr>
        <w:t xml:space="preserve"> </w:t>
      </w:r>
    </w:p>
    <w:p w:rsidR="00BD1EE3" w:rsidRDefault="00BD1EE3" w:rsidP="00BD1EE3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(8 punto, </w:t>
      </w:r>
      <w:proofErr w:type="spellStart"/>
      <w:r>
        <w:rPr>
          <w:sz w:val="16"/>
          <w:szCs w:val="24"/>
        </w:rPr>
        <w:t>calibri</w:t>
      </w:r>
      <w:proofErr w:type="spellEnd"/>
      <w:r>
        <w:rPr>
          <w:sz w:val="16"/>
          <w:szCs w:val="24"/>
        </w:rPr>
        <w:t xml:space="preserve">, </w:t>
      </w:r>
      <w:proofErr w:type="spellStart"/>
      <w:r>
        <w:rPr>
          <w:sz w:val="16"/>
          <w:szCs w:val="24"/>
        </w:rPr>
        <w:t>single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space</w:t>
      </w:r>
      <w:proofErr w:type="spellEnd"/>
      <w:r>
        <w:rPr>
          <w:sz w:val="16"/>
          <w:szCs w:val="24"/>
        </w:rPr>
        <w:t xml:space="preserve">, 150 </w:t>
      </w:r>
      <w:proofErr w:type="spellStart"/>
      <w:r>
        <w:rPr>
          <w:sz w:val="16"/>
          <w:szCs w:val="24"/>
        </w:rPr>
        <w:t>words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max</w:t>
      </w:r>
      <w:proofErr w:type="spellEnd"/>
      <w:r>
        <w:rPr>
          <w:sz w:val="16"/>
          <w:szCs w:val="24"/>
        </w:rPr>
        <w:t>)</w:t>
      </w:r>
    </w:p>
    <w:p w:rsidR="00BD1EE3" w:rsidRPr="002A1DB6" w:rsidRDefault="00BD1EE3" w:rsidP="00BD1EE3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Purpose</w:t>
      </w:r>
      <w:proofErr w:type="spellEnd"/>
      <w:r w:rsidRPr="002A1DB6">
        <w:rPr>
          <w:b/>
          <w:sz w:val="16"/>
          <w:szCs w:val="24"/>
        </w:rPr>
        <w:t xml:space="preserve"> -     </w:t>
      </w:r>
    </w:p>
    <w:p w:rsidR="00BD1EE3" w:rsidRDefault="00BD1EE3" w:rsidP="00BD1EE3">
      <w:pPr>
        <w:spacing w:after="0"/>
        <w:rPr>
          <w:sz w:val="16"/>
          <w:szCs w:val="24"/>
        </w:rPr>
      </w:pPr>
    </w:p>
    <w:p w:rsidR="00BD1EE3" w:rsidRDefault="00BD1EE3" w:rsidP="00BD1EE3">
      <w:pPr>
        <w:spacing w:after="0"/>
        <w:rPr>
          <w:sz w:val="16"/>
          <w:szCs w:val="24"/>
        </w:rPr>
      </w:pPr>
    </w:p>
    <w:p w:rsidR="00BD1EE3" w:rsidRPr="002A1DB6" w:rsidRDefault="00BD1EE3" w:rsidP="00BD1EE3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Methodology</w:t>
      </w:r>
      <w:proofErr w:type="spellEnd"/>
      <w:r w:rsidRPr="002A1DB6">
        <w:rPr>
          <w:b/>
          <w:sz w:val="16"/>
          <w:szCs w:val="24"/>
        </w:rPr>
        <w:t xml:space="preserve"> -   </w:t>
      </w:r>
    </w:p>
    <w:p w:rsidR="00BD1EE3" w:rsidRDefault="00BD1EE3" w:rsidP="00BD1EE3">
      <w:pPr>
        <w:spacing w:after="0"/>
        <w:rPr>
          <w:sz w:val="16"/>
          <w:szCs w:val="24"/>
        </w:rPr>
      </w:pPr>
    </w:p>
    <w:p w:rsidR="00BD1EE3" w:rsidRDefault="00BD1EE3" w:rsidP="00BD1EE3">
      <w:pPr>
        <w:spacing w:after="0"/>
        <w:rPr>
          <w:sz w:val="16"/>
          <w:szCs w:val="24"/>
        </w:rPr>
      </w:pPr>
    </w:p>
    <w:p w:rsidR="00BD1EE3" w:rsidRPr="002A1DB6" w:rsidRDefault="00BD1EE3" w:rsidP="00BD1EE3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Findings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BD1EE3" w:rsidRDefault="00BD1EE3" w:rsidP="00BD1EE3">
      <w:pPr>
        <w:spacing w:after="0"/>
        <w:rPr>
          <w:sz w:val="16"/>
          <w:szCs w:val="24"/>
        </w:rPr>
      </w:pPr>
    </w:p>
    <w:p w:rsidR="00BD1EE3" w:rsidRDefault="00BD1EE3" w:rsidP="00BD1EE3">
      <w:pPr>
        <w:spacing w:after="0"/>
        <w:rPr>
          <w:sz w:val="16"/>
          <w:szCs w:val="24"/>
        </w:rPr>
      </w:pPr>
    </w:p>
    <w:p w:rsidR="00BD1EE3" w:rsidRPr="002A1DB6" w:rsidRDefault="00BD1EE3" w:rsidP="00BD1EE3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Conclusion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BD1EE3" w:rsidRDefault="00BD1EE3" w:rsidP="00BD1EE3">
      <w:pPr>
        <w:spacing w:after="0"/>
        <w:rPr>
          <w:sz w:val="16"/>
          <w:szCs w:val="24"/>
        </w:rPr>
      </w:pPr>
    </w:p>
    <w:p w:rsidR="00BD1EE3" w:rsidRDefault="00BD1EE3" w:rsidP="00BD1EE3">
      <w:pPr>
        <w:spacing w:after="0"/>
        <w:rPr>
          <w:sz w:val="16"/>
          <w:szCs w:val="24"/>
        </w:rPr>
      </w:pPr>
    </w:p>
    <w:p w:rsidR="00BD1EE3" w:rsidRPr="002A1DB6" w:rsidRDefault="00BD1EE3" w:rsidP="00BD1EE3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Pr="002A1DB6">
        <w:rPr>
          <w:rFonts w:eastAsia="Times New Roman"/>
          <w:b/>
          <w:sz w:val="16"/>
          <w:szCs w:val="16"/>
          <w:lang w:val="en-GB"/>
        </w:rPr>
        <w:t>: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5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:rsidR="00BD1EE3" w:rsidRPr="002A1DB6" w:rsidRDefault="00BD1EE3" w:rsidP="00BD1EE3">
      <w:pPr>
        <w:pBdr>
          <w:bottom w:val="single" w:sz="12" w:space="1" w:color="auto"/>
        </w:pBdr>
        <w:spacing w:after="0"/>
        <w:rPr>
          <w:rFonts w:eastAsia="Times New Roman"/>
          <w:sz w:val="16"/>
          <w:szCs w:val="16"/>
          <w:lang w:val="en-GB"/>
        </w:rPr>
      </w:pPr>
      <w:r w:rsidRPr="002A1DB6">
        <w:rPr>
          <w:rFonts w:eastAsia="Times New Roman"/>
          <w:b/>
          <w:sz w:val="16"/>
          <w:szCs w:val="16"/>
          <w:lang w:val="en-GB"/>
        </w:rPr>
        <w:t>JEL C</w:t>
      </w:r>
      <w:r>
        <w:rPr>
          <w:rFonts w:eastAsia="Times New Roman"/>
          <w:b/>
          <w:sz w:val="16"/>
          <w:szCs w:val="16"/>
          <w:lang w:val="en-GB"/>
        </w:rPr>
        <w:t xml:space="preserve">odes: </w:t>
      </w:r>
      <w:r w:rsidRPr="002A1DB6">
        <w:rPr>
          <w:rFonts w:eastAsia="Times New Roman"/>
          <w:sz w:val="16"/>
          <w:szCs w:val="16"/>
          <w:lang w:val="en-GB"/>
        </w:rPr>
        <w:t>3 JEL codes</w:t>
      </w:r>
      <w:r>
        <w:rPr>
          <w:rFonts w:eastAsia="Times New Roman"/>
          <w:sz w:val="16"/>
          <w:szCs w:val="16"/>
          <w:lang w:val="en-GB"/>
        </w:rPr>
        <w:t>, 8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punto</w:t>
      </w:r>
      <w:proofErr w:type="spellEnd"/>
      <w:r w:rsidRPr="002A1DB6"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calibri</w:t>
      </w:r>
      <w:proofErr w:type="spellEnd"/>
    </w:p>
    <w:p w:rsidR="00BD1EE3" w:rsidRPr="00A27217" w:rsidRDefault="00BD1EE3" w:rsidP="00BD1EE3">
      <w:pPr>
        <w:pBdr>
          <w:bottom w:val="single" w:sz="12" w:space="1" w:color="auto"/>
        </w:pBdr>
        <w:spacing w:after="0"/>
        <w:rPr>
          <w:rFonts w:eastAsia="Times New Roman"/>
          <w:sz w:val="8"/>
          <w:szCs w:val="20"/>
          <w:lang w:val="en-GB"/>
        </w:rPr>
      </w:pPr>
    </w:p>
    <w:p w:rsidR="00BD1EE3" w:rsidRDefault="00BD1EE3" w:rsidP="00BD1EE3">
      <w:pPr>
        <w:spacing w:after="0"/>
        <w:rPr>
          <w:rFonts w:eastAsia="Times New Roman"/>
          <w:b/>
          <w:lang w:val="en-GB"/>
        </w:rPr>
      </w:pPr>
    </w:p>
    <w:p w:rsidR="00BD1EE3" w:rsidRPr="00185DFE" w:rsidRDefault="00BD1EE3" w:rsidP="00BD1EE3">
      <w:pPr>
        <w:spacing w:before="120" w:after="120" w:line="240" w:lineRule="auto"/>
        <w:jc w:val="both"/>
        <w:rPr>
          <w:bCs/>
          <w:iCs/>
          <w:sz w:val="18"/>
        </w:rPr>
      </w:pPr>
      <w:r w:rsidRPr="002A1DB6">
        <w:rPr>
          <w:b/>
          <w:sz w:val="20"/>
        </w:rPr>
        <w:t>REFERENCES</w:t>
      </w:r>
      <w:r>
        <w:rPr>
          <w:b/>
          <w:sz w:val="20"/>
        </w:rPr>
        <w:t xml:space="preserve"> </w:t>
      </w:r>
      <w:r w:rsidRPr="00185DFE">
        <w:rPr>
          <w:bCs/>
          <w:iCs/>
          <w:sz w:val="18"/>
        </w:rPr>
        <w:t>(</w:t>
      </w:r>
      <w:r>
        <w:rPr>
          <w:bCs/>
          <w:iCs/>
          <w:sz w:val="18"/>
        </w:rPr>
        <w:t>8</w:t>
      </w:r>
      <w:r w:rsidRPr="00185DFE">
        <w:rPr>
          <w:bCs/>
          <w:iCs/>
          <w:sz w:val="18"/>
        </w:rPr>
        <w:t xml:space="preserve">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BD1EE3" w:rsidRPr="008F6FF2" w:rsidRDefault="00BD1EE3" w:rsidP="00BD1EE3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i/>
          <w:sz w:val="18"/>
          <w:szCs w:val="16"/>
          <w:lang w:val="en-US"/>
        </w:rPr>
      </w:pPr>
      <w:r>
        <w:rPr>
          <w:rFonts w:asciiTheme="minorHAnsi" w:hAnsiTheme="minorHAnsi"/>
          <w:b/>
          <w:i/>
          <w:sz w:val="18"/>
          <w:szCs w:val="16"/>
          <w:lang w:val="en-US"/>
        </w:rPr>
        <w:t>All references must be in the format of APA style.</w:t>
      </w:r>
    </w:p>
    <w:p w:rsidR="00BD1EE3" w:rsidRPr="00D904E4" w:rsidRDefault="00BD1EE3" w:rsidP="00BD1EE3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  <w:proofErr w:type="spellStart"/>
      <w:r w:rsidRPr="00D904E4"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  <w:t>Articles</w:t>
      </w:r>
      <w:proofErr w:type="spellEnd"/>
    </w:p>
    <w:p w:rsidR="00BD1EE3" w:rsidRPr="00D904E4" w:rsidRDefault="00BD1EE3" w:rsidP="00BD1EE3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  <w:lang w:val="en-US"/>
        </w:rPr>
      </w:pP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Brueckner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M. </w:t>
      </w: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Carneiro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F. (2017). </w:t>
      </w:r>
      <w:proofErr w:type="spellStart"/>
      <w:r w:rsidRPr="00D904E4">
        <w:rPr>
          <w:rStyle w:val="Gl"/>
          <w:rFonts w:cs="Times New Roman"/>
          <w:sz w:val="16"/>
          <w:szCs w:val="16"/>
          <w:bdr w:val="none" w:sz="0" w:space="0" w:color="auto" w:frame="1"/>
        </w:rPr>
        <w:t>Terms</w:t>
      </w:r>
      <w:proofErr w:type="spellEnd"/>
      <w:r w:rsidRPr="00D904E4">
        <w:rPr>
          <w:rStyle w:val="Gl"/>
          <w:rFonts w:cs="Times New Roman"/>
          <w:sz w:val="16"/>
          <w:szCs w:val="16"/>
          <w:bdr w:val="none" w:sz="0" w:space="0" w:color="auto" w:frame="1"/>
        </w:rPr>
        <w:t xml:space="preserve"> of </w:t>
      </w:r>
      <w:proofErr w:type="spellStart"/>
      <w:r w:rsidRPr="00D904E4">
        <w:rPr>
          <w:rStyle w:val="Gl"/>
          <w:rFonts w:cs="Times New Roman"/>
          <w:sz w:val="16"/>
          <w:szCs w:val="16"/>
          <w:bdr w:val="none" w:sz="0" w:space="0" w:color="auto" w:frame="1"/>
        </w:rPr>
        <w:t>trade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> 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volatility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government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spending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cyclicality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, and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economic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growth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. </w:t>
      </w:r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 xml:space="preserve">Review of International </w:t>
      </w:r>
      <w:proofErr w:type="spellStart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Economics</w:t>
      </w:r>
      <w:proofErr w:type="spellEnd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. </w:t>
      </w:r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25(5): 975-989.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DOI: 24513/Apalall.2017.123</w:t>
      </w:r>
    </w:p>
    <w:p w:rsidR="00BD1EE3" w:rsidRPr="00D904E4" w:rsidRDefault="00BD1EE3" w:rsidP="00BD1EE3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  <w:lang w:val="en-US"/>
        </w:rPr>
      </w:pPr>
      <w:proofErr w:type="gram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Kolb, B., &amp;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Cioe</w:t>
      </w:r>
      <w:proofErr w:type="spellEnd"/>
      <w:r>
        <w:rPr>
          <w:rFonts w:eastAsiaTheme="minorEastAsia" w:cs="Palatino"/>
          <w:color w:val="000000"/>
          <w:sz w:val="16"/>
          <w:szCs w:val="16"/>
          <w:lang w:val="en-US" w:eastAsia="ja-JP"/>
        </w:rPr>
        <w:t>, J. (2018</w:t>
      </w:r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).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</w:t>
      </w:r>
      <w:proofErr w:type="gram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Absence of recovery or dendritic reorganization after neonatal posterior parietal lesions.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</w:t>
      </w:r>
      <w:r w:rsidRPr="00D904E4">
        <w:rPr>
          <w:rFonts w:eastAsiaTheme="minorEastAsia" w:cs="Palatino"/>
          <w:i/>
          <w:iCs/>
          <w:color w:val="000000"/>
          <w:sz w:val="16"/>
          <w:szCs w:val="16"/>
          <w:lang w:val="en-US" w:eastAsia="ja-JP"/>
        </w:rPr>
        <w:t>Psychobiology, 26</w:t>
      </w:r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, 134-142.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DOI: 745322/KMML.</w:t>
      </w:r>
      <w:proofErr w:type="gram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2018.45326</w:t>
      </w:r>
      <w:proofErr w:type="gramEnd"/>
    </w:p>
    <w:p w:rsidR="00BD1EE3" w:rsidRPr="0014494A" w:rsidRDefault="00BD1EE3" w:rsidP="00BD1EE3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val="en-US" w:eastAsia="ja-JP"/>
        </w:rPr>
        <w:t>Books</w:t>
      </w:r>
    </w:p>
    <w:p w:rsidR="00BD1EE3" w:rsidRPr="007A547C" w:rsidRDefault="00BD1EE3" w:rsidP="00BD1EE3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val="en-US" w:eastAsia="ja-JP"/>
        </w:rPr>
      </w:pPr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Finney, J. (1970).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Time and again.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New York, NY: Simon and Schuster.</w:t>
      </w:r>
    </w:p>
    <w:p w:rsidR="00BD1EE3" w:rsidRPr="0014494A" w:rsidRDefault="00BD1EE3" w:rsidP="00BD1EE3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val="en-US" w:eastAsia="ja-JP"/>
        </w:rPr>
        <w:t>Internet Sources</w:t>
      </w:r>
    </w:p>
    <w:p w:rsidR="00B40F79" w:rsidRDefault="00BD1EE3" w:rsidP="00BD1EE3">
      <w:pPr>
        <w:rPr>
          <w:rStyle w:val="Kpr"/>
          <w:rFonts w:eastAsiaTheme="minorEastAsia" w:cs="Palatino"/>
          <w:sz w:val="16"/>
          <w:szCs w:val="16"/>
          <w:lang w:val="en-US" w:eastAsia="ja-JP"/>
        </w:rPr>
      </w:pPr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Simmons, B. (2015, January 9).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The tale of two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Flaccos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Retrieved from </w:t>
      </w:r>
      <w:hyperlink r:id="rId8" w:history="1">
        <w:r w:rsidRPr="00A111D7">
          <w:rPr>
            <w:rStyle w:val="Kpr"/>
            <w:rFonts w:eastAsiaTheme="minorEastAsia" w:cs="Palatino"/>
            <w:sz w:val="16"/>
            <w:szCs w:val="16"/>
            <w:lang w:val="en-US" w:eastAsia="ja-JP"/>
          </w:rPr>
          <w:t>http://grantland.com/the-triangle/the-tale-of-two-flaccos/</w:t>
        </w:r>
      </w:hyperlink>
    </w:p>
    <w:p w:rsidR="00BD1EE3" w:rsidRDefault="00BD1EE3" w:rsidP="00BD1EE3"/>
    <w:sectPr w:rsidR="00BD1EE3" w:rsidSect="00994A0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11" w:rsidRDefault="00A22B11" w:rsidP="00BD1EE3">
      <w:pPr>
        <w:spacing w:after="0" w:line="240" w:lineRule="auto"/>
      </w:pPr>
      <w:r>
        <w:separator/>
      </w:r>
    </w:p>
  </w:endnote>
  <w:endnote w:type="continuationSeparator" w:id="0">
    <w:p w:rsidR="00A22B11" w:rsidRDefault="00A22B11" w:rsidP="00BD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4415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D1EE3" w:rsidRPr="00127439" w:rsidRDefault="00BD1EE3" w:rsidP="00BD1EE3">
        <w:pPr>
          <w:pStyle w:val="Altbilgi"/>
          <w:jc w:val="center"/>
          <w:rPr>
            <w:sz w:val="18"/>
            <w:szCs w:val="18"/>
          </w:rPr>
        </w:pPr>
        <w:r w:rsidRPr="00127439">
          <w:t>_______________</w:t>
        </w:r>
        <w:r w:rsidRPr="00127439">
          <w:rPr>
            <w:sz w:val="18"/>
            <w:szCs w:val="18"/>
          </w:rPr>
          <w:t>__________________________________________________________________________________</w:t>
        </w:r>
      </w:p>
      <w:p w:rsidR="00BD1EE3" w:rsidRPr="00127439" w:rsidRDefault="00BD1EE3" w:rsidP="00BD1EE3">
        <w:pPr>
          <w:spacing w:after="0"/>
          <w:rPr>
            <w:b/>
            <w:sz w:val="18"/>
            <w:szCs w:val="18"/>
            <w:lang w:val="en-GB"/>
          </w:rPr>
        </w:pPr>
        <w:r w:rsidRPr="00127439">
          <w:rPr>
            <w:sz w:val="18"/>
            <w:szCs w:val="18"/>
            <w:lang w:val="en-GB"/>
          </w:rPr>
          <w:t xml:space="preserve"> DOI: 10.17261/Pressacademia.201</w:t>
        </w:r>
        <w:r>
          <w:rPr>
            <w:sz w:val="18"/>
            <w:szCs w:val="18"/>
            <w:lang w:val="en-GB"/>
          </w:rPr>
          <w:t xml:space="preserve">9      </w:t>
        </w:r>
        <w:r w:rsidRPr="00127439">
          <w:rPr>
            <w:b/>
            <w:sz w:val="18"/>
            <w:szCs w:val="18"/>
            <w:lang w:val="en-GB"/>
          </w:rPr>
          <w:t xml:space="preserve">                                    </w:t>
        </w:r>
        <w:r w:rsidRPr="00127439">
          <w:rPr>
            <w:sz w:val="18"/>
            <w:szCs w:val="18"/>
          </w:rPr>
          <w:fldChar w:fldCharType="begin"/>
        </w:r>
        <w:r w:rsidRPr="00127439">
          <w:rPr>
            <w:sz w:val="18"/>
            <w:szCs w:val="18"/>
          </w:rPr>
          <w:instrText>PAGE    \* MERGEFORMAT</w:instrText>
        </w:r>
        <w:r w:rsidRPr="00127439">
          <w:rPr>
            <w:sz w:val="18"/>
            <w:szCs w:val="18"/>
          </w:rPr>
          <w:fldChar w:fldCharType="separate"/>
        </w:r>
        <w:r w:rsidR="00994A01">
          <w:rPr>
            <w:noProof/>
            <w:sz w:val="18"/>
            <w:szCs w:val="18"/>
          </w:rPr>
          <w:t>1</w:t>
        </w:r>
        <w:r w:rsidRPr="00127439">
          <w:rPr>
            <w:sz w:val="18"/>
            <w:szCs w:val="18"/>
          </w:rPr>
          <w:fldChar w:fldCharType="end"/>
        </w:r>
      </w:p>
    </w:sdtContent>
  </w:sdt>
  <w:p w:rsidR="00BD1EE3" w:rsidRDefault="00BD1EE3" w:rsidP="00BD1EE3">
    <w:pPr>
      <w:pStyle w:val="Altbilgi"/>
      <w:jc w:val="center"/>
    </w:pPr>
  </w:p>
  <w:p w:rsidR="00BD1EE3" w:rsidRPr="00BD1EE3" w:rsidRDefault="00BD1EE3" w:rsidP="00BD1E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11" w:rsidRDefault="00A22B11" w:rsidP="00BD1EE3">
      <w:pPr>
        <w:spacing w:after="0" w:line="240" w:lineRule="auto"/>
      </w:pPr>
      <w:r>
        <w:separator/>
      </w:r>
    </w:p>
  </w:footnote>
  <w:footnote w:type="continuationSeparator" w:id="0">
    <w:p w:rsidR="00A22B11" w:rsidRDefault="00A22B11" w:rsidP="00BD1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B0"/>
    <w:rsid w:val="001811E8"/>
    <w:rsid w:val="00285A18"/>
    <w:rsid w:val="005944F9"/>
    <w:rsid w:val="00994A01"/>
    <w:rsid w:val="00A22B11"/>
    <w:rsid w:val="00A777B0"/>
    <w:rsid w:val="00B40F79"/>
    <w:rsid w:val="00BD1EE3"/>
    <w:rsid w:val="00BD7A92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4F9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D1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BD1EE3"/>
    <w:rPr>
      <w:b/>
      <w:bCs/>
    </w:rPr>
  </w:style>
  <w:style w:type="character" w:customStyle="1" w:styleId="standard-view-style">
    <w:name w:val="standard-view-style"/>
    <w:basedOn w:val="VarsaylanParagrafYazTipi"/>
    <w:rsid w:val="00BD1EE3"/>
  </w:style>
  <w:style w:type="character" w:styleId="Vurgu">
    <w:name w:val="Emphasis"/>
    <w:basedOn w:val="VarsaylanParagrafYazTipi"/>
    <w:uiPriority w:val="20"/>
    <w:qFormat/>
    <w:rsid w:val="00BD1EE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D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1EE3"/>
  </w:style>
  <w:style w:type="paragraph" w:styleId="Altbilgi">
    <w:name w:val="footer"/>
    <w:basedOn w:val="Normal"/>
    <w:link w:val="AltbilgiChar"/>
    <w:uiPriority w:val="99"/>
    <w:unhideWhenUsed/>
    <w:rsid w:val="00BD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1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4F9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D1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BD1EE3"/>
    <w:rPr>
      <w:b/>
      <w:bCs/>
    </w:rPr>
  </w:style>
  <w:style w:type="character" w:customStyle="1" w:styleId="standard-view-style">
    <w:name w:val="standard-view-style"/>
    <w:basedOn w:val="VarsaylanParagrafYazTipi"/>
    <w:rsid w:val="00BD1EE3"/>
  </w:style>
  <w:style w:type="character" w:styleId="Vurgu">
    <w:name w:val="Emphasis"/>
    <w:basedOn w:val="VarsaylanParagrafYazTipi"/>
    <w:uiPriority w:val="20"/>
    <w:qFormat/>
    <w:rsid w:val="00BD1EE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D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1EE3"/>
  </w:style>
  <w:style w:type="paragraph" w:styleId="Altbilgi">
    <w:name w:val="footer"/>
    <w:basedOn w:val="Normal"/>
    <w:link w:val="AltbilgiChar"/>
    <w:uiPriority w:val="99"/>
    <w:unhideWhenUsed/>
    <w:rsid w:val="00BD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land.com/the-triangle/the-tale-of-two-flacc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 TUNC</dc:creator>
  <cp:lastModifiedBy>Windows User</cp:lastModifiedBy>
  <cp:revision>5</cp:revision>
  <dcterms:created xsi:type="dcterms:W3CDTF">2019-07-12T13:47:00Z</dcterms:created>
  <dcterms:modified xsi:type="dcterms:W3CDTF">2019-07-12T13:54:00Z</dcterms:modified>
</cp:coreProperties>
</file>