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52EF" w14:textId="55C32C3B" w:rsidR="00624C20" w:rsidRPr="009B42AD" w:rsidRDefault="00742E9C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84C5A0" wp14:editId="23C70CF3">
            <wp:simplePos x="0" y="0"/>
            <wp:positionH relativeFrom="column">
              <wp:posOffset>0</wp:posOffset>
            </wp:positionH>
            <wp:positionV relativeFrom="paragraph">
              <wp:posOffset>-632460</wp:posOffset>
            </wp:positionV>
            <wp:extent cx="5730240" cy="10134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3" t="9173" r="24851" b="74128"/>
                    <a:stretch/>
                  </pic:blipFill>
                  <pic:spPr bwMode="auto">
                    <a:xfrm>
                      <a:off x="0" y="0"/>
                      <a:ext cx="5730240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3150AAF3" w14:textId="33CFC9DF" w:rsidR="005C23C4" w:rsidRPr="00AC3A9A" w:rsidRDefault="007A2296" w:rsidP="00697AFA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A COMPARATIVE</w:t>
      </w:r>
      <w:r w:rsidR="005C23C4" w:rsidRPr="00AC3A9A">
        <w:rPr>
          <w:b/>
          <w:szCs w:val="24"/>
        </w:rPr>
        <w:t xml:space="preserve"> NON</w:t>
      </w:r>
      <w:bookmarkStart w:id="0" w:name="_GoBack"/>
      <w:bookmarkEnd w:id="0"/>
      <w:r w:rsidR="005C23C4" w:rsidRPr="00AC3A9A">
        <w:rPr>
          <w:b/>
          <w:szCs w:val="24"/>
        </w:rPr>
        <w:t>PARAMETRIC ANALYSIS ON CRYPTO CURRENCY EXCHANGE RATE RETURNS</w:t>
      </w:r>
    </w:p>
    <w:p w14:paraId="7EBAF195" w14:textId="77777777" w:rsidR="005C23C4" w:rsidRPr="008645C1" w:rsidRDefault="005C23C4" w:rsidP="00697AFA">
      <w:pPr>
        <w:spacing w:after="0" w:line="240" w:lineRule="auto"/>
        <w:jc w:val="both"/>
        <w:rPr>
          <w:rFonts w:cstheme="minorHAnsi"/>
          <w:b/>
          <w:sz w:val="18"/>
          <w:szCs w:val="10"/>
        </w:rPr>
      </w:pPr>
    </w:p>
    <w:p w14:paraId="64D2E201" w14:textId="7479F55B" w:rsidR="005C23C4" w:rsidRPr="00477992" w:rsidRDefault="005C23C4" w:rsidP="00697AFA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742E9C">
        <w:rPr>
          <w:rFonts w:cstheme="minorHAnsi"/>
          <w:b/>
          <w:sz w:val="18"/>
          <w:szCs w:val="18"/>
        </w:rPr>
        <w:t>/Pressacademia.2022</w:t>
      </w:r>
      <w:proofErr w:type="gramStart"/>
      <w:r>
        <w:rPr>
          <w:rFonts w:cstheme="minorHAnsi"/>
          <w:b/>
          <w:sz w:val="18"/>
          <w:szCs w:val="18"/>
        </w:rPr>
        <w:t>….</w:t>
      </w:r>
      <w:proofErr w:type="gramEnd"/>
    </w:p>
    <w:p w14:paraId="09352A64" w14:textId="10A4AC52" w:rsidR="005C23C4" w:rsidRDefault="00742E9C" w:rsidP="00697AFA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V.16-2022</w:t>
      </w:r>
      <w:r w:rsidR="007C71BE">
        <w:rPr>
          <w:rFonts w:cstheme="minorHAnsi"/>
          <w:b/>
          <w:sz w:val="18"/>
          <w:szCs w:val="18"/>
        </w:rPr>
        <w:t>(.</w:t>
      </w:r>
      <w:r w:rsidR="005C23C4" w:rsidRPr="00477992">
        <w:rPr>
          <w:rFonts w:cstheme="minorHAnsi"/>
          <w:b/>
          <w:sz w:val="18"/>
          <w:szCs w:val="18"/>
        </w:rPr>
        <w:t>)-p</w:t>
      </w:r>
      <w:r w:rsidR="007C71BE">
        <w:rPr>
          <w:rFonts w:cstheme="minorHAnsi"/>
          <w:b/>
          <w:sz w:val="18"/>
          <w:szCs w:val="18"/>
        </w:rPr>
        <w:t>.</w:t>
      </w:r>
    </w:p>
    <w:p w14:paraId="57A7F2A1" w14:textId="77777777" w:rsidR="005C23C4" w:rsidRPr="008645C1" w:rsidRDefault="005C23C4" w:rsidP="00697AFA">
      <w:pPr>
        <w:spacing w:after="0" w:line="240" w:lineRule="auto"/>
        <w:jc w:val="both"/>
        <w:rPr>
          <w:b/>
          <w:sz w:val="18"/>
          <w:szCs w:val="10"/>
          <w:lang w:val="en-GB"/>
        </w:rPr>
      </w:pPr>
    </w:p>
    <w:p w14:paraId="6113DC15" w14:textId="04E0909F" w:rsidR="005C23C4" w:rsidRPr="009B42AD" w:rsidRDefault="008645C1" w:rsidP="00697AFA">
      <w:pPr>
        <w:spacing w:after="0" w:line="240" w:lineRule="auto"/>
        <w:jc w:val="both"/>
        <w:rPr>
          <w:b/>
          <w:sz w:val="18"/>
          <w:szCs w:val="18"/>
          <w:lang w:val="en-GB"/>
        </w:rPr>
      </w:pPr>
      <w:proofErr w:type="spellStart"/>
      <w:r>
        <w:rPr>
          <w:b/>
          <w:sz w:val="18"/>
          <w:szCs w:val="18"/>
          <w:lang w:val="en-GB"/>
        </w:rPr>
        <w:t>Neslihan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Fidan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Kececi</w:t>
      </w:r>
      <w:proofErr w:type="spellEnd"/>
    </w:p>
    <w:p w14:paraId="51EF0A6A" w14:textId="7B4E3FFA" w:rsidR="005C23C4" w:rsidRPr="009B42AD" w:rsidRDefault="005C23C4" w:rsidP="00697AFA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>
        <w:rPr>
          <w:sz w:val="16"/>
          <w:lang w:val="en-GB"/>
        </w:rPr>
        <w:t>Istanbul University</w:t>
      </w:r>
      <w:r w:rsidRPr="009B42AD">
        <w:rPr>
          <w:sz w:val="16"/>
          <w:lang w:val="en-GB"/>
        </w:rPr>
        <w:t xml:space="preserve">, </w:t>
      </w:r>
      <w:r>
        <w:rPr>
          <w:sz w:val="16"/>
          <w:lang w:val="en-GB"/>
        </w:rPr>
        <w:t>School of Business, Quantitative Methods Department, Istanbul, Turkey.</w:t>
      </w:r>
    </w:p>
    <w:p w14:paraId="5A6F56DA" w14:textId="17D9C006" w:rsidR="005C23C4" w:rsidRPr="004E704E" w:rsidRDefault="005C23C4" w:rsidP="00697AFA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proofErr w:type="spellStart"/>
      <w:proofErr w:type="gramStart"/>
      <w:r>
        <w:rPr>
          <w:rStyle w:val="Hyperlink"/>
          <w:sz w:val="16"/>
          <w:lang w:val="en-GB"/>
        </w:rPr>
        <w:t>neslihan</w:t>
      </w:r>
      <w:proofErr w:type="spellEnd"/>
      <w:r>
        <w:rPr>
          <w:rStyle w:val="Hyperlink"/>
          <w:sz w:val="16"/>
          <w:lang w:val="en-US"/>
        </w:rPr>
        <w:t>@istanbul.edu.tr</w:t>
      </w:r>
      <w:r>
        <w:rPr>
          <w:rStyle w:val="Hyperlink"/>
          <w:sz w:val="16"/>
          <w:lang w:val="en-GB"/>
        </w:rPr>
        <w:t xml:space="preserve"> </w:t>
      </w:r>
      <w:r w:rsidRPr="009B42AD">
        <w:rPr>
          <w:sz w:val="16"/>
          <w:lang w:val="en-GB"/>
        </w:rPr>
        <w:t>,</w:t>
      </w:r>
      <w:proofErr w:type="gramEnd"/>
      <w:r w:rsidRPr="009B42AD">
        <w:rPr>
          <w:sz w:val="16"/>
          <w:lang w:val="en-GB"/>
        </w:rPr>
        <w:t xml:space="preserve"> ORCID:</w:t>
      </w:r>
      <w:r>
        <w:rPr>
          <w:sz w:val="16"/>
          <w:lang w:val="en-GB"/>
        </w:rPr>
        <w:t xml:space="preserve"> 0000-0003-3007-9963</w:t>
      </w:r>
    </w:p>
    <w:p w14:paraId="1D8955EC" w14:textId="0146BD01" w:rsidR="00F3317C" w:rsidRPr="00BB0E7B" w:rsidRDefault="00F3317C" w:rsidP="00697AFA">
      <w:pPr>
        <w:pBdr>
          <w:bottom w:val="single" w:sz="12" w:space="1" w:color="auto"/>
        </w:pBdr>
        <w:spacing w:after="0" w:line="240" w:lineRule="auto"/>
        <w:rPr>
          <w:sz w:val="6"/>
          <w:lang w:val="en-GB"/>
        </w:rPr>
      </w:pPr>
    </w:p>
    <w:p w14:paraId="08F90EC1" w14:textId="77777777" w:rsidR="00A5766E" w:rsidRPr="00697AFA" w:rsidRDefault="00A5766E" w:rsidP="00697AFA">
      <w:pPr>
        <w:spacing w:after="0" w:line="240" w:lineRule="auto"/>
        <w:jc w:val="both"/>
        <w:rPr>
          <w:rFonts w:eastAsia="Times New Roman" w:cstheme="minorHAnsi"/>
          <w:b/>
          <w:sz w:val="4"/>
          <w:lang w:val="en-GB"/>
        </w:rPr>
      </w:pPr>
    </w:p>
    <w:p w14:paraId="6C71AA00" w14:textId="77777777" w:rsidR="008645C1" w:rsidRDefault="00A5766E" w:rsidP="00697AFA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7CC19447" w:rsidR="00A5766E" w:rsidRPr="0098574C" w:rsidRDefault="008645C1" w:rsidP="00697AFA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proofErr w:type="spellStart"/>
      <w:r>
        <w:rPr>
          <w:rFonts w:cstheme="minorHAnsi"/>
          <w:sz w:val="16"/>
          <w:szCs w:val="16"/>
          <w:lang w:val="en-GB"/>
        </w:rPr>
        <w:t>Fidan</w:t>
      </w:r>
      <w:proofErr w:type="spellEnd"/>
      <w:r>
        <w:rPr>
          <w:rFonts w:cstheme="minorHAnsi"/>
          <w:sz w:val="16"/>
          <w:szCs w:val="16"/>
          <w:lang w:val="en-GB"/>
        </w:rPr>
        <w:t xml:space="preserve"> </w:t>
      </w:r>
      <w:proofErr w:type="spellStart"/>
      <w:r>
        <w:rPr>
          <w:rFonts w:cstheme="minorHAnsi"/>
          <w:sz w:val="16"/>
          <w:szCs w:val="16"/>
          <w:lang w:val="en-GB"/>
        </w:rPr>
        <w:t>Kec</w:t>
      </w:r>
      <w:r w:rsidR="00742E9C">
        <w:rPr>
          <w:rFonts w:cstheme="minorHAnsi"/>
          <w:sz w:val="16"/>
          <w:szCs w:val="16"/>
          <w:lang w:val="en-GB"/>
        </w:rPr>
        <w:t>eci</w:t>
      </w:r>
      <w:proofErr w:type="spellEnd"/>
      <w:r w:rsidR="00742E9C">
        <w:rPr>
          <w:rFonts w:cstheme="minorHAnsi"/>
          <w:sz w:val="16"/>
          <w:szCs w:val="16"/>
          <w:lang w:val="en-GB"/>
        </w:rPr>
        <w:t>, N. (2022</w:t>
      </w:r>
      <w:r w:rsidR="0098574C" w:rsidRPr="00A5766E">
        <w:rPr>
          <w:rFonts w:cstheme="minorHAnsi"/>
          <w:sz w:val="16"/>
          <w:szCs w:val="16"/>
          <w:lang w:val="en-GB"/>
        </w:rPr>
        <w:t>)</w:t>
      </w:r>
      <w:r w:rsidR="0098574C">
        <w:rPr>
          <w:rFonts w:cstheme="minorHAnsi"/>
          <w:sz w:val="16"/>
          <w:szCs w:val="16"/>
          <w:lang w:val="en-GB"/>
        </w:rPr>
        <w:t>.</w:t>
      </w:r>
      <w:r w:rsidR="008509C3">
        <w:rPr>
          <w:rFonts w:cstheme="minorHAnsi"/>
          <w:sz w:val="16"/>
          <w:szCs w:val="16"/>
          <w:lang w:val="en-GB"/>
        </w:rPr>
        <w:t xml:space="preserve"> </w:t>
      </w:r>
      <w:r>
        <w:rPr>
          <w:sz w:val="16"/>
          <w:szCs w:val="24"/>
        </w:rPr>
        <w:t>A</w:t>
      </w:r>
      <w:r w:rsidR="007A2296">
        <w:rPr>
          <w:sz w:val="16"/>
          <w:szCs w:val="24"/>
        </w:rPr>
        <w:t xml:space="preserve"> </w:t>
      </w:r>
      <w:proofErr w:type="spellStart"/>
      <w:r w:rsidR="007A2296">
        <w:rPr>
          <w:sz w:val="16"/>
          <w:szCs w:val="24"/>
        </w:rPr>
        <w:t>comparative</w:t>
      </w:r>
      <w:proofErr w:type="spellEnd"/>
      <w:r w:rsidR="007A2296">
        <w:rPr>
          <w:sz w:val="16"/>
          <w:szCs w:val="24"/>
        </w:rPr>
        <w:t xml:space="preserve"> </w:t>
      </w:r>
      <w:proofErr w:type="spellStart"/>
      <w:r w:rsidR="007A2296">
        <w:rPr>
          <w:sz w:val="16"/>
          <w:szCs w:val="24"/>
        </w:rPr>
        <w:t>nonparametric</w:t>
      </w:r>
      <w:proofErr w:type="spellEnd"/>
      <w:r w:rsidR="007A2296">
        <w:rPr>
          <w:sz w:val="16"/>
          <w:szCs w:val="24"/>
        </w:rPr>
        <w:t xml:space="preserve"> </w:t>
      </w:r>
      <w:proofErr w:type="spellStart"/>
      <w:r w:rsidR="007A2296">
        <w:rPr>
          <w:sz w:val="16"/>
          <w:szCs w:val="24"/>
        </w:rPr>
        <w:t>analysi</w:t>
      </w:r>
      <w:r w:rsidRPr="008645C1">
        <w:rPr>
          <w:sz w:val="16"/>
          <w:szCs w:val="24"/>
        </w:rPr>
        <w:t>s</w:t>
      </w:r>
      <w:proofErr w:type="spellEnd"/>
      <w:r w:rsidRPr="008645C1">
        <w:rPr>
          <w:sz w:val="16"/>
          <w:szCs w:val="24"/>
        </w:rPr>
        <w:t xml:space="preserve"> on </w:t>
      </w:r>
      <w:proofErr w:type="spellStart"/>
      <w:r w:rsidRPr="008645C1">
        <w:rPr>
          <w:sz w:val="16"/>
          <w:szCs w:val="24"/>
        </w:rPr>
        <w:t>crypto</w:t>
      </w:r>
      <w:proofErr w:type="spellEnd"/>
      <w:r w:rsidRPr="008645C1">
        <w:rPr>
          <w:sz w:val="16"/>
          <w:szCs w:val="24"/>
        </w:rPr>
        <w:t xml:space="preserve"> </w:t>
      </w:r>
      <w:proofErr w:type="spellStart"/>
      <w:r w:rsidRPr="008645C1">
        <w:rPr>
          <w:sz w:val="16"/>
          <w:szCs w:val="24"/>
        </w:rPr>
        <w:t>currency</w:t>
      </w:r>
      <w:proofErr w:type="spellEnd"/>
      <w:r w:rsidRPr="008645C1">
        <w:rPr>
          <w:sz w:val="16"/>
          <w:szCs w:val="24"/>
        </w:rPr>
        <w:t xml:space="preserve"> </w:t>
      </w:r>
      <w:proofErr w:type="spellStart"/>
      <w:r w:rsidRPr="008645C1">
        <w:rPr>
          <w:sz w:val="16"/>
          <w:szCs w:val="24"/>
        </w:rPr>
        <w:t>exchange</w:t>
      </w:r>
      <w:proofErr w:type="spellEnd"/>
      <w:r w:rsidRPr="008645C1">
        <w:rPr>
          <w:sz w:val="16"/>
          <w:szCs w:val="24"/>
        </w:rPr>
        <w:t xml:space="preserve"> rate </w:t>
      </w:r>
      <w:proofErr w:type="spellStart"/>
      <w:r w:rsidRPr="008645C1">
        <w:rPr>
          <w:sz w:val="16"/>
          <w:szCs w:val="24"/>
        </w:rPr>
        <w:t>returns</w:t>
      </w:r>
      <w:proofErr w:type="spellEnd"/>
      <w:r>
        <w:rPr>
          <w:sz w:val="16"/>
          <w:szCs w:val="24"/>
        </w:rPr>
        <w:t xml:space="preserve">. </w:t>
      </w:r>
      <w:r w:rsidR="00A5766E" w:rsidRPr="00A5766E">
        <w:rPr>
          <w:rFonts w:cstheme="minorHAnsi"/>
          <w:sz w:val="16"/>
          <w:szCs w:val="16"/>
          <w:lang w:val="en-GB"/>
        </w:rPr>
        <w:t>P</w:t>
      </w:r>
      <w:r w:rsidR="008509C3">
        <w:rPr>
          <w:rFonts w:cstheme="minorHAnsi"/>
          <w:sz w:val="16"/>
          <w:szCs w:val="16"/>
          <w:lang w:val="en-GB"/>
        </w:rPr>
        <w:t>r</w:t>
      </w:r>
      <w:r w:rsidR="00742E9C">
        <w:rPr>
          <w:rFonts w:cstheme="minorHAnsi"/>
          <w:sz w:val="16"/>
          <w:szCs w:val="16"/>
          <w:lang w:val="en-GB"/>
        </w:rPr>
        <w:t>essAcademia Procedia (PAP), V.16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2492C131" w:rsidR="00A5766E" w:rsidRPr="00A5766E" w:rsidRDefault="007A2296" w:rsidP="00697AFA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Permanen</w:t>
      </w:r>
      <w:r w:rsidR="00A5766E" w:rsidRPr="00A5766E">
        <w:rPr>
          <w:rFonts w:cstheme="minorHAnsi"/>
          <w:b/>
          <w:sz w:val="16"/>
          <w:szCs w:val="16"/>
          <w:lang w:val="en-GB"/>
        </w:rPr>
        <w:t>t link to this document:</w:t>
      </w:r>
      <w:r w:rsidR="00A5766E" w:rsidRPr="00A5766E">
        <w:rPr>
          <w:rFonts w:cstheme="minorHAnsi"/>
          <w:sz w:val="16"/>
          <w:szCs w:val="16"/>
          <w:lang w:val="en-GB"/>
        </w:rPr>
        <w:t xml:space="preserve"> 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742E9C">
        <w:rPr>
          <w:rFonts w:cstheme="minorHAnsi"/>
          <w:color w:val="0000FF"/>
          <w:sz w:val="16"/>
          <w:szCs w:val="16"/>
          <w:u w:val="single"/>
        </w:rPr>
        <w:t>.org/10.17261/Pressacademia.2022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45270823" w:rsidR="00A5766E" w:rsidRDefault="00A5766E" w:rsidP="00697AFA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r w:rsidR="007A2296">
        <w:rPr>
          <w:rFonts w:cstheme="minorHAnsi"/>
          <w:sz w:val="16"/>
          <w:szCs w:val="16"/>
          <w:lang w:val="en-GB"/>
        </w:rPr>
        <w:t>PressAcademia and limited licens</w:t>
      </w:r>
      <w:r w:rsidRPr="00A5766E">
        <w:rPr>
          <w:rFonts w:cstheme="minorHAnsi"/>
          <w:sz w:val="16"/>
          <w:szCs w:val="16"/>
          <w:lang w:val="en-GB"/>
        </w:rPr>
        <w:t>ed re-use rights only.</w:t>
      </w:r>
    </w:p>
    <w:p w14:paraId="38B2119B" w14:textId="77777777" w:rsidR="00F3317C" w:rsidRPr="00697AFA" w:rsidRDefault="00F3317C" w:rsidP="00697AFA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14:paraId="225A3D1B" w14:textId="77777777" w:rsidR="00F3317C" w:rsidRPr="00697AFA" w:rsidRDefault="00F3317C" w:rsidP="00697AFA">
      <w:pPr>
        <w:spacing w:after="0" w:line="240" w:lineRule="auto"/>
        <w:rPr>
          <w:rFonts w:eastAsia="Times New Roman"/>
          <w:b/>
          <w:sz w:val="4"/>
          <w:lang w:val="en-GB"/>
        </w:rPr>
      </w:pPr>
    </w:p>
    <w:p w14:paraId="6CEA9BCA" w14:textId="77777777" w:rsidR="005C23C4" w:rsidRPr="009B42AD" w:rsidRDefault="005C23C4" w:rsidP="00697AFA">
      <w:pPr>
        <w:spacing w:after="0" w:line="240" w:lineRule="auto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7F677D47" w14:textId="77777777" w:rsidR="005C23C4" w:rsidRPr="000C3E24" w:rsidRDefault="005C23C4" w:rsidP="00697AFA">
      <w:pPr>
        <w:spacing w:after="0" w:line="240" w:lineRule="auto"/>
        <w:jc w:val="both"/>
        <w:rPr>
          <w:sz w:val="16"/>
          <w:szCs w:val="24"/>
        </w:rPr>
      </w:pPr>
      <w:r>
        <w:rPr>
          <w:b/>
          <w:sz w:val="16"/>
          <w:szCs w:val="24"/>
          <w:lang w:val="en-GB"/>
        </w:rPr>
        <w:t>Purpose</w:t>
      </w:r>
      <w:r w:rsidRPr="009B42AD">
        <w:rPr>
          <w:b/>
          <w:sz w:val="16"/>
          <w:szCs w:val="24"/>
          <w:lang w:val="en-GB"/>
        </w:rPr>
        <w:t xml:space="preserve">- </w:t>
      </w:r>
      <w:r w:rsidRPr="001B5379">
        <w:rPr>
          <w:sz w:val="16"/>
          <w:szCs w:val="24"/>
          <w:lang w:val="en-GB"/>
        </w:rPr>
        <w:t>Cryptocurrencies market have grown considerably since 2008 in terms of number and frequency of transactions, despite their advantages and disadvantages.</w:t>
      </w:r>
      <w:r w:rsidRPr="00A2283A">
        <w:t xml:space="preserve"> </w:t>
      </w:r>
      <w:proofErr w:type="gramStart"/>
      <w:r w:rsidRPr="00A2283A">
        <w:rPr>
          <w:sz w:val="16"/>
          <w:szCs w:val="24"/>
          <w:lang w:val="en-GB"/>
        </w:rPr>
        <w:t>Therefore</w:t>
      </w:r>
      <w:proofErr w:type="gramEnd"/>
      <w:r w:rsidRPr="00A2283A">
        <w:rPr>
          <w:sz w:val="16"/>
          <w:szCs w:val="24"/>
          <w:lang w:val="en-GB"/>
        </w:rPr>
        <w:t xml:space="preserve"> cryptocurrency market </w:t>
      </w:r>
      <w:r>
        <w:rPr>
          <w:sz w:val="16"/>
          <w:szCs w:val="24"/>
          <w:lang w:val="en-GB"/>
        </w:rPr>
        <w:t>is</w:t>
      </w:r>
      <w:r w:rsidRPr="00A2283A">
        <w:rPr>
          <w:sz w:val="16"/>
          <w:szCs w:val="24"/>
          <w:lang w:val="en-GB"/>
        </w:rPr>
        <w:t xml:space="preserve"> </w:t>
      </w:r>
      <w:r>
        <w:rPr>
          <w:sz w:val="16"/>
          <w:szCs w:val="24"/>
          <w:lang w:val="en-GB"/>
        </w:rPr>
        <w:t>addresse</w:t>
      </w:r>
      <w:r w:rsidRPr="00A2283A">
        <w:rPr>
          <w:sz w:val="16"/>
          <w:szCs w:val="24"/>
          <w:lang w:val="en-GB"/>
        </w:rPr>
        <w:t>d frequently by financial and government institutions globally.</w:t>
      </w:r>
      <w:r>
        <w:rPr>
          <w:sz w:val="16"/>
          <w:szCs w:val="24"/>
          <w:lang w:val="en-GB"/>
        </w:rPr>
        <w:t xml:space="preserve"> </w:t>
      </w:r>
      <w:r w:rsidRPr="00A2283A">
        <w:rPr>
          <w:sz w:val="16"/>
          <w:szCs w:val="24"/>
          <w:lang w:val="en-GB"/>
        </w:rPr>
        <w:t>Cryptocurrencies, which provide advantages in terms of time and costs such as instant transactions and low transfer fees, are seen as an alternative financial asset for investors.</w:t>
      </w:r>
      <w:r>
        <w:rPr>
          <w:sz w:val="16"/>
          <w:szCs w:val="24"/>
          <w:lang w:val="en-GB"/>
        </w:rPr>
        <w:t xml:space="preserve"> </w:t>
      </w:r>
      <w:r w:rsidRPr="000C3E24">
        <w:rPr>
          <w:sz w:val="16"/>
          <w:szCs w:val="24"/>
          <w:lang w:val="en-GB"/>
        </w:rPr>
        <w:t xml:space="preserve">Therefore, cryptocurrency holders purposing of investing in </w:t>
      </w:r>
      <w:r>
        <w:rPr>
          <w:sz w:val="16"/>
          <w:szCs w:val="24"/>
          <w:lang w:val="en-GB"/>
        </w:rPr>
        <w:t xml:space="preserve">its </w:t>
      </w:r>
      <w:r w:rsidRPr="000C3E24">
        <w:rPr>
          <w:sz w:val="16"/>
          <w:szCs w:val="24"/>
          <w:lang w:val="en-GB"/>
        </w:rPr>
        <w:t>exchange rates are exposed to market risk. The purpose of this study is to compare the effectiveness of cryptocurrency exchange rate returns with respect to each other.</w:t>
      </w:r>
    </w:p>
    <w:p w14:paraId="403E1862" w14:textId="77777777" w:rsidR="005C23C4" w:rsidRDefault="005C23C4" w:rsidP="00697AFA">
      <w:pPr>
        <w:spacing w:after="0" w:line="240" w:lineRule="auto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Pr="00237875">
        <w:rPr>
          <w:sz w:val="16"/>
          <w:szCs w:val="24"/>
          <w:lang w:val="en-GB"/>
        </w:rPr>
        <w:t>The relative efficiencies of exchange rate returns are compared with the second order stochastic dominance criterion.</w:t>
      </w:r>
      <w:r>
        <w:rPr>
          <w:sz w:val="16"/>
          <w:szCs w:val="24"/>
          <w:lang w:val="en-GB"/>
        </w:rPr>
        <w:t xml:space="preserve"> A</w:t>
      </w:r>
      <w:r w:rsidRPr="00237875">
        <w:rPr>
          <w:sz w:val="16"/>
          <w:szCs w:val="24"/>
          <w:lang w:val="en-GB"/>
        </w:rPr>
        <w:t xml:space="preserve">s a nonparametric approach Stochastic dominance is used in </w:t>
      </w:r>
      <w:proofErr w:type="spellStart"/>
      <w:r w:rsidRPr="00237875">
        <w:rPr>
          <w:sz w:val="16"/>
          <w:szCs w:val="24"/>
          <w:lang w:val="en-GB"/>
        </w:rPr>
        <w:t>analyzing</w:t>
      </w:r>
      <w:proofErr w:type="spellEnd"/>
      <w:r w:rsidRPr="00237875">
        <w:rPr>
          <w:sz w:val="16"/>
          <w:szCs w:val="24"/>
          <w:lang w:val="en-GB"/>
        </w:rPr>
        <w:t xml:space="preserve"> the risk of financial return series that do not exhibit a normal distribution.</w:t>
      </w:r>
    </w:p>
    <w:p w14:paraId="293A50BA" w14:textId="77777777" w:rsidR="005C23C4" w:rsidRDefault="005C23C4" w:rsidP="00697AFA">
      <w:pPr>
        <w:spacing w:after="0" w:line="240" w:lineRule="auto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Pr="005F5AC1">
        <w:rPr>
          <w:sz w:val="16"/>
          <w:szCs w:val="24"/>
          <w:lang w:val="en-GB"/>
        </w:rPr>
        <w:t xml:space="preserve">When the exchange rate returns of </w:t>
      </w:r>
      <w:r>
        <w:rPr>
          <w:sz w:val="16"/>
          <w:szCs w:val="24"/>
          <w:lang w:val="en-GB"/>
        </w:rPr>
        <w:t>five</w:t>
      </w:r>
      <w:r w:rsidRPr="005F5AC1">
        <w:rPr>
          <w:sz w:val="16"/>
          <w:szCs w:val="24"/>
          <w:lang w:val="en-GB"/>
        </w:rPr>
        <w:t xml:space="preserve"> different cryptocurrencies are compared with the second order stochastic dominance criterion, it is determined that there are effective currencies among the cryptocurrency returns in the said period.</w:t>
      </w:r>
      <w:r>
        <w:rPr>
          <w:sz w:val="16"/>
          <w:szCs w:val="24"/>
          <w:lang w:val="en-GB"/>
        </w:rPr>
        <w:t xml:space="preserve"> </w:t>
      </w:r>
      <w:r w:rsidRPr="005F5AC1">
        <w:rPr>
          <w:sz w:val="16"/>
          <w:szCs w:val="24"/>
          <w:lang w:val="en-GB"/>
        </w:rPr>
        <w:t>On the other hand, it is seen that there are currencies that do not have stochastic dominance among the cryptocurrency returns.</w:t>
      </w:r>
    </w:p>
    <w:p w14:paraId="3D37C357" w14:textId="77777777" w:rsidR="005C23C4" w:rsidRDefault="005C23C4" w:rsidP="00697AFA">
      <w:pPr>
        <w:spacing w:after="0" w:line="240" w:lineRule="auto"/>
        <w:jc w:val="both"/>
        <w:rPr>
          <w:sz w:val="16"/>
          <w:szCs w:val="24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proofErr w:type="spellStart"/>
      <w:r w:rsidRPr="00963DAA">
        <w:rPr>
          <w:sz w:val="16"/>
          <w:szCs w:val="24"/>
        </w:rPr>
        <w:t>The</w:t>
      </w:r>
      <w:proofErr w:type="spellEnd"/>
      <w:r w:rsidRPr="00963DAA">
        <w:rPr>
          <w:sz w:val="16"/>
          <w:szCs w:val="24"/>
        </w:rPr>
        <w:t xml:space="preserve"> </w:t>
      </w:r>
      <w:proofErr w:type="spellStart"/>
      <w:r w:rsidRPr="00963DAA">
        <w:rPr>
          <w:sz w:val="16"/>
          <w:szCs w:val="24"/>
        </w:rPr>
        <w:t>results</w:t>
      </w:r>
      <w:proofErr w:type="spellEnd"/>
      <w:r w:rsidRPr="00963DAA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results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provide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ideas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for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investors</w:t>
      </w:r>
      <w:proofErr w:type="spellEnd"/>
      <w:r w:rsidRPr="00304E6E">
        <w:rPr>
          <w:sz w:val="16"/>
          <w:szCs w:val="24"/>
        </w:rPr>
        <w:t xml:space="preserve"> and </w:t>
      </w:r>
      <w:proofErr w:type="spellStart"/>
      <w:r w:rsidRPr="00304E6E">
        <w:rPr>
          <w:sz w:val="16"/>
          <w:szCs w:val="24"/>
        </w:rPr>
        <w:t>researchers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who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want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to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include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cryptocurrencies</w:t>
      </w:r>
      <w:proofErr w:type="spellEnd"/>
      <w:r w:rsidRPr="00304E6E">
        <w:rPr>
          <w:sz w:val="16"/>
          <w:szCs w:val="24"/>
        </w:rPr>
        <w:t xml:space="preserve"> in </w:t>
      </w:r>
      <w:proofErr w:type="spellStart"/>
      <w:r w:rsidRPr="00304E6E">
        <w:rPr>
          <w:sz w:val="16"/>
          <w:szCs w:val="24"/>
        </w:rPr>
        <w:t>their</w:t>
      </w:r>
      <w:proofErr w:type="spellEnd"/>
      <w:r w:rsidRPr="00304E6E">
        <w:rPr>
          <w:sz w:val="16"/>
          <w:szCs w:val="24"/>
        </w:rPr>
        <w:t xml:space="preserve"> </w:t>
      </w:r>
      <w:proofErr w:type="spellStart"/>
      <w:r w:rsidRPr="00304E6E">
        <w:rPr>
          <w:sz w:val="16"/>
          <w:szCs w:val="24"/>
        </w:rPr>
        <w:t>portfolios</w:t>
      </w:r>
      <w:proofErr w:type="spellEnd"/>
      <w:r w:rsidRPr="00304E6E">
        <w:rPr>
          <w:sz w:val="16"/>
          <w:szCs w:val="24"/>
        </w:rPr>
        <w:t>.</w:t>
      </w:r>
    </w:p>
    <w:p w14:paraId="1F4DBD4B" w14:textId="77777777" w:rsidR="005C23C4" w:rsidRPr="005769CF" w:rsidRDefault="005C23C4" w:rsidP="00697AFA">
      <w:pPr>
        <w:spacing w:after="0" w:line="240" w:lineRule="auto"/>
        <w:jc w:val="both"/>
        <w:rPr>
          <w:rFonts w:eastAsia="Times New Roman"/>
          <w:b/>
          <w:sz w:val="10"/>
          <w:szCs w:val="10"/>
          <w:lang w:val="en-GB"/>
        </w:rPr>
      </w:pPr>
    </w:p>
    <w:p w14:paraId="0463B42D" w14:textId="77777777" w:rsidR="005C23C4" w:rsidRPr="009B42AD" w:rsidRDefault="005C23C4" w:rsidP="00697AFA">
      <w:pPr>
        <w:spacing w:after="0" w:line="240" w:lineRule="auto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Cryptocurrency, exchange rate risk, stochastic dominance,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VaR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>, value at risk</w:t>
      </w:r>
    </w:p>
    <w:p w14:paraId="0003D23B" w14:textId="77777777" w:rsidR="005C23C4" w:rsidRDefault="005C23C4" w:rsidP="00697AFA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E44, G01, G32</w:t>
      </w:r>
    </w:p>
    <w:p w14:paraId="2DA4D789" w14:textId="77777777" w:rsidR="005C23C4" w:rsidRPr="005769CF" w:rsidRDefault="005C23C4" w:rsidP="00697AFA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z w:val="10"/>
          <w:szCs w:val="10"/>
          <w:lang w:val="en-GB"/>
        </w:rPr>
      </w:pPr>
    </w:p>
    <w:p w14:paraId="226E8649" w14:textId="77777777" w:rsidR="00111E97" w:rsidRPr="008645C1" w:rsidRDefault="00111E97" w:rsidP="00697AFA">
      <w:pPr>
        <w:spacing w:after="0" w:line="240" w:lineRule="auto"/>
        <w:jc w:val="both"/>
        <w:rPr>
          <w:b/>
          <w:sz w:val="6"/>
        </w:rPr>
      </w:pPr>
    </w:p>
    <w:p w14:paraId="27ED5BCB" w14:textId="6D4D860E" w:rsidR="005C23C4" w:rsidRDefault="005C23C4" w:rsidP="00697AFA">
      <w:pPr>
        <w:spacing w:after="0" w:line="240" w:lineRule="auto"/>
        <w:jc w:val="both"/>
        <w:rPr>
          <w:b/>
          <w:sz w:val="18"/>
          <w:szCs w:val="20"/>
          <w:lang w:val="en-GB"/>
        </w:rPr>
      </w:pPr>
      <w:r w:rsidRPr="00D7770F">
        <w:rPr>
          <w:b/>
        </w:rPr>
        <w:t>KRİPTOPAR</w:t>
      </w:r>
      <w:r>
        <w:rPr>
          <w:b/>
        </w:rPr>
        <w:t>A DÖV</w:t>
      </w:r>
      <w:r w:rsidRPr="00D7770F">
        <w:rPr>
          <w:b/>
        </w:rPr>
        <w:t>İ</w:t>
      </w:r>
      <w:r>
        <w:rPr>
          <w:b/>
        </w:rPr>
        <w:t>Z</w:t>
      </w:r>
      <w:r w:rsidRPr="00D7770F">
        <w:rPr>
          <w:b/>
        </w:rPr>
        <w:t xml:space="preserve"> KUR</w:t>
      </w:r>
      <w:r>
        <w:rPr>
          <w:b/>
        </w:rPr>
        <w:t>U GETİRİLERİ</w:t>
      </w:r>
      <w:r w:rsidRPr="00D7770F">
        <w:rPr>
          <w:b/>
        </w:rPr>
        <w:t xml:space="preserve"> </w:t>
      </w:r>
      <w:r>
        <w:rPr>
          <w:b/>
        </w:rPr>
        <w:t>ÜZER</w:t>
      </w:r>
      <w:r w:rsidRPr="00D7770F">
        <w:rPr>
          <w:b/>
        </w:rPr>
        <w:t>İ</w:t>
      </w:r>
      <w:r>
        <w:rPr>
          <w:b/>
        </w:rPr>
        <w:t xml:space="preserve">NE </w:t>
      </w:r>
      <w:r w:rsidR="007A2296">
        <w:rPr>
          <w:b/>
          <w:szCs w:val="24"/>
        </w:rPr>
        <w:t xml:space="preserve">KARŞILAŞTIRMALI </w:t>
      </w:r>
      <w:r w:rsidRPr="00D7770F">
        <w:rPr>
          <w:b/>
          <w:szCs w:val="24"/>
        </w:rPr>
        <w:t>NONPARAMETRİK BİR ANALİZ</w:t>
      </w:r>
    </w:p>
    <w:p w14:paraId="57E744D0" w14:textId="77777777" w:rsidR="005C23C4" w:rsidRPr="008645C1" w:rsidRDefault="005C23C4" w:rsidP="00697AFA">
      <w:pPr>
        <w:pBdr>
          <w:bottom w:val="single" w:sz="12" w:space="1" w:color="auto"/>
        </w:pBdr>
        <w:spacing w:after="0" w:line="240" w:lineRule="auto"/>
        <w:rPr>
          <w:sz w:val="2"/>
          <w:lang w:val="en-GB"/>
        </w:rPr>
      </w:pPr>
    </w:p>
    <w:p w14:paraId="5E47BB63" w14:textId="77777777" w:rsidR="005C23C4" w:rsidRPr="005769CF" w:rsidRDefault="005C23C4" w:rsidP="00697AFA">
      <w:pPr>
        <w:spacing w:after="0" w:line="240" w:lineRule="auto"/>
        <w:rPr>
          <w:rFonts w:eastAsia="Times New Roman"/>
          <w:sz w:val="10"/>
          <w:szCs w:val="10"/>
          <w:lang w:val="en-GB"/>
        </w:rPr>
      </w:pPr>
    </w:p>
    <w:p w14:paraId="00ECA2A1" w14:textId="77777777" w:rsidR="005C23C4" w:rsidRPr="009B42AD" w:rsidRDefault="005C23C4" w:rsidP="00697AFA">
      <w:pPr>
        <w:spacing w:after="0" w:line="240" w:lineRule="auto"/>
        <w:rPr>
          <w:rFonts w:eastAsia="Times New Roman"/>
          <w:b/>
          <w:sz w:val="24"/>
          <w:lang w:val="en-GB"/>
        </w:rPr>
      </w:pPr>
      <w:r>
        <w:rPr>
          <w:rFonts w:eastAsia="Times New Roman"/>
          <w:b/>
          <w:lang w:val="en-GB"/>
        </w:rPr>
        <w:t>ÖZET</w:t>
      </w:r>
    </w:p>
    <w:p w14:paraId="1127AFEA" w14:textId="77777777" w:rsidR="005C23C4" w:rsidRPr="005049D1" w:rsidRDefault="005C23C4" w:rsidP="00697AFA">
      <w:pPr>
        <w:spacing w:after="0" w:line="240" w:lineRule="auto"/>
        <w:jc w:val="both"/>
        <w:rPr>
          <w:sz w:val="16"/>
          <w:szCs w:val="24"/>
          <w:lang w:val="en-GB"/>
        </w:rPr>
      </w:pPr>
      <w:proofErr w:type="spellStart"/>
      <w:r>
        <w:rPr>
          <w:b/>
          <w:sz w:val="16"/>
          <w:szCs w:val="24"/>
          <w:lang w:val="en-GB"/>
        </w:rPr>
        <w:t>Amaç</w:t>
      </w:r>
      <w:proofErr w:type="spellEnd"/>
      <w:r w:rsidRPr="009B42AD">
        <w:rPr>
          <w:b/>
          <w:sz w:val="16"/>
          <w:szCs w:val="24"/>
          <w:lang w:val="en-GB"/>
        </w:rPr>
        <w:t>-</w:t>
      </w:r>
      <w:r>
        <w:rPr>
          <w:b/>
          <w:sz w:val="16"/>
          <w:szCs w:val="24"/>
          <w:lang w:val="en-GB"/>
        </w:rPr>
        <w:t xml:space="preserve"> </w:t>
      </w:r>
      <w:proofErr w:type="spellStart"/>
      <w:r w:rsidRPr="009765DB">
        <w:rPr>
          <w:sz w:val="16"/>
          <w:szCs w:val="24"/>
        </w:rPr>
        <w:t>Kriptopara</w:t>
      </w:r>
      <w:proofErr w:type="spellEnd"/>
      <w:r w:rsidRPr="009765DB">
        <w:rPr>
          <w:sz w:val="16"/>
          <w:szCs w:val="24"/>
        </w:rPr>
        <w:t xml:space="preserve"> birimleri 2008’den bu yana, avantaj ve dezavantajlarına rağmen sayı ve işlem sıklığı açısından oldukça büyüme göstermektedirler. Büyüyen </w:t>
      </w:r>
      <w:proofErr w:type="spellStart"/>
      <w:r w:rsidRPr="009765DB">
        <w:rPr>
          <w:sz w:val="16"/>
          <w:szCs w:val="24"/>
        </w:rPr>
        <w:t>kriptopara</w:t>
      </w:r>
      <w:proofErr w:type="spellEnd"/>
      <w:r w:rsidRPr="009765DB">
        <w:rPr>
          <w:sz w:val="16"/>
          <w:szCs w:val="24"/>
        </w:rPr>
        <w:t xml:space="preserve"> piyasası küresel olarak finans ve devlet kurumları tarafından da sıklıkla ele alınmaktadır. Anlık işlem yapabilme </w:t>
      </w:r>
      <w:proofErr w:type="gramStart"/>
      <w:r w:rsidRPr="009765DB">
        <w:rPr>
          <w:sz w:val="16"/>
          <w:szCs w:val="24"/>
        </w:rPr>
        <w:t>ve  düşük</w:t>
      </w:r>
      <w:proofErr w:type="gramEnd"/>
      <w:r w:rsidRPr="009765DB">
        <w:rPr>
          <w:sz w:val="16"/>
          <w:szCs w:val="24"/>
        </w:rPr>
        <w:t xml:space="preserve"> transfer ücretleri gibi zaman ve maliyetler açısından avantajlar sağlayan </w:t>
      </w:r>
      <w:proofErr w:type="spellStart"/>
      <w:r w:rsidRPr="009765DB">
        <w:rPr>
          <w:sz w:val="16"/>
          <w:szCs w:val="24"/>
        </w:rPr>
        <w:t>kriptoparalar</w:t>
      </w:r>
      <w:proofErr w:type="spellEnd"/>
      <w:r w:rsidRPr="009765DB">
        <w:rPr>
          <w:sz w:val="16"/>
          <w:szCs w:val="24"/>
        </w:rPr>
        <w:t xml:space="preserve"> yatırımcılar açısından da alternatif bir finansal varlık olarak görülmektedirler. Dolayısıyla </w:t>
      </w:r>
      <w:proofErr w:type="spellStart"/>
      <w:r w:rsidRPr="009765DB">
        <w:rPr>
          <w:sz w:val="16"/>
          <w:szCs w:val="24"/>
        </w:rPr>
        <w:t>kriptopara</w:t>
      </w:r>
      <w:proofErr w:type="spellEnd"/>
      <w:r w:rsidRPr="009765DB">
        <w:rPr>
          <w:sz w:val="16"/>
          <w:szCs w:val="24"/>
        </w:rPr>
        <w:t xml:space="preserve"> kurlarındaki yatırım amacıyla </w:t>
      </w:r>
      <w:proofErr w:type="spellStart"/>
      <w:r w:rsidRPr="009765DB">
        <w:rPr>
          <w:sz w:val="16"/>
          <w:szCs w:val="24"/>
        </w:rPr>
        <w:t>kriptopara</w:t>
      </w:r>
      <w:proofErr w:type="spellEnd"/>
      <w:r w:rsidRPr="009765DB">
        <w:rPr>
          <w:sz w:val="16"/>
          <w:szCs w:val="24"/>
        </w:rPr>
        <w:t xml:space="preserve"> tutanları piyasa riskine maruz bırakmaktadır. Bu çalışmanın amacı </w:t>
      </w:r>
      <w:proofErr w:type="spellStart"/>
      <w:r w:rsidRPr="009765DB">
        <w:rPr>
          <w:sz w:val="16"/>
          <w:szCs w:val="24"/>
        </w:rPr>
        <w:t>kriptopara</w:t>
      </w:r>
      <w:proofErr w:type="spellEnd"/>
      <w:r w:rsidRPr="009765DB">
        <w:rPr>
          <w:sz w:val="16"/>
          <w:szCs w:val="24"/>
        </w:rPr>
        <w:t xml:space="preserve"> döviz kuru getirilerinin birbirlerine göre etkinliklerinin karşılaştırılmasıdır.</w:t>
      </w:r>
    </w:p>
    <w:p w14:paraId="3A946B0B" w14:textId="77777777" w:rsidR="005C23C4" w:rsidRPr="009B42AD" w:rsidRDefault="005C23C4" w:rsidP="00697AFA">
      <w:pPr>
        <w:spacing w:after="0" w:line="240" w:lineRule="auto"/>
        <w:jc w:val="both"/>
        <w:rPr>
          <w:sz w:val="16"/>
          <w:szCs w:val="24"/>
          <w:lang w:val="en-GB"/>
        </w:rPr>
      </w:pPr>
      <w:proofErr w:type="spellStart"/>
      <w:r>
        <w:rPr>
          <w:b/>
          <w:sz w:val="16"/>
          <w:szCs w:val="24"/>
          <w:lang w:val="en-GB"/>
        </w:rPr>
        <w:t>Yöntem</w:t>
      </w:r>
      <w:proofErr w:type="spellEnd"/>
      <w:r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Pr="00801478">
        <w:rPr>
          <w:sz w:val="16"/>
          <w:szCs w:val="24"/>
        </w:rPr>
        <w:t xml:space="preserve">Döviz kuru getirilerinin birbirlerine göre etkinlikleri ikinci dereceden </w:t>
      </w:r>
      <w:proofErr w:type="spellStart"/>
      <w:r w:rsidRPr="00801478">
        <w:rPr>
          <w:sz w:val="16"/>
          <w:szCs w:val="24"/>
        </w:rPr>
        <w:t>stokastik</w:t>
      </w:r>
      <w:proofErr w:type="spellEnd"/>
      <w:r w:rsidRPr="00801478">
        <w:rPr>
          <w:sz w:val="16"/>
          <w:szCs w:val="24"/>
        </w:rPr>
        <w:t xml:space="preserve"> baskınlık kriteri ile karşılaştırılmıştır. </w:t>
      </w:r>
      <w:proofErr w:type="spellStart"/>
      <w:r w:rsidRPr="00801478">
        <w:rPr>
          <w:sz w:val="16"/>
          <w:szCs w:val="24"/>
        </w:rPr>
        <w:t>Stokastik</w:t>
      </w:r>
      <w:proofErr w:type="spellEnd"/>
      <w:r w:rsidRPr="00801478">
        <w:rPr>
          <w:sz w:val="16"/>
          <w:szCs w:val="24"/>
        </w:rPr>
        <w:t xml:space="preserve"> baskınlık özellikle normal dağılım sergilemeyen finansal getiri serilerinin riskinin analizinde başvurulan herhangi bir dağılım varsayımına dayanmayan </w:t>
      </w:r>
      <w:proofErr w:type="spellStart"/>
      <w:r w:rsidRPr="00801478">
        <w:rPr>
          <w:sz w:val="16"/>
          <w:szCs w:val="24"/>
        </w:rPr>
        <w:t>nonparametrik</w:t>
      </w:r>
      <w:proofErr w:type="spellEnd"/>
      <w:r w:rsidRPr="00801478">
        <w:rPr>
          <w:sz w:val="16"/>
          <w:szCs w:val="24"/>
        </w:rPr>
        <w:t xml:space="preserve"> bir yaklaşımdır.</w:t>
      </w:r>
    </w:p>
    <w:p w14:paraId="6ADB4B77" w14:textId="77777777" w:rsidR="005C23C4" w:rsidRPr="009B42AD" w:rsidRDefault="005C23C4" w:rsidP="00697AFA">
      <w:pPr>
        <w:spacing w:after="0" w:line="240" w:lineRule="auto"/>
        <w:jc w:val="both"/>
        <w:rPr>
          <w:sz w:val="16"/>
          <w:szCs w:val="24"/>
          <w:lang w:val="en-GB"/>
        </w:rPr>
      </w:pPr>
      <w:proofErr w:type="spellStart"/>
      <w:r>
        <w:rPr>
          <w:b/>
          <w:sz w:val="16"/>
          <w:szCs w:val="24"/>
          <w:lang w:val="en-GB"/>
        </w:rPr>
        <w:t>Bulgular</w:t>
      </w:r>
      <w:proofErr w:type="spellEnd"/>
      <w:r w:rsidRPr="009B42AD">
        <w:rPr>
          <w:b/>
          <w:sz w:val="16"/>
          <w:szCs w:val="24"/>
          <w:lang w:val="en-GB"/>
        </w:rPr>
        <w:t xml:space="preserve">- </w:t>
      </w:r>
      <w:r w:rsidRPr="00AC62AB">
        <w:rPr>
          <w:sz w:val="16"/>
          <w:szCs w:val="24"/>
        </w:rPr>
        <w:t xml:space="preserve">İşlem hacmi en yüksek 5 farklı </w:t>
      </w:r>
      <w:proofErr w:type="spellStart"/>
      <w:r w:rsidRPr="00AC62AB">
        <w:rPr>
          <w:sz w:val="16"/>
          <w:szCs w:val="24"/>
        </w:rPr>
        <w:t>kriptopara</w:t>
      </w:r>
      <w:proofErr w:type="spellEnd"/>
      <w:r w:rsidRPr="00AC62AB">
        <w:rPr>
          <w:sz w:val="16"/>
          <w:szCs w:val="24"/>
        </w:rPr>
        <w:t xml:space="preserve"> biriminin döviz kuru getirileri karşılaştırıldığında söz konusu dönemde </w:t>
      </w:r>
      <w:proofErr w:type="spellStart"/>
      <w:r w:rsidRPr="00AC62AB">
        <w:rPr>
          <w:sz w:val="16"/>
          <w:szCs w:val="24"/>
        </w:rPr>
        <w:t>kriptopara</w:t>
      </w:r>
      <w:proofErr w:type="spellEnd"/>
      <w:r w:rsidRPr="00AC62AB">
        <w:rPr>
          <w:sz w:val="16"/>
          <w:szCs w:val="24"/>
        </w:rPr>
        <w:t xml:space="preserve"> getirileri arasında ikinci dereceden </w:t>
      </w:r>
      <w:proofErr w:type="spellStart"/>
      <w:r w:rsidRPr="00AC62AB">
        <w:rPr>
          <w:sz w:val="16"/>
          <w:szCs w:val="24"/>
        </w:rPr>
        <w:t>stokastik</w:t>
      </w:r>
      <w:proofErr w:type="spellEnd"/>
      <w:r w:rsidRPr="00AC62AB">
        <w:rPr>
          <w:sz w:val="16"/>
          <w:szCs w:val="24"/>
        </w:rPr>
        <w:t xml:space="preserve"> baskın olarak elde edilen para birimleri tespit edilirken, diğer </w:t>
      </w:r>
      <w:proofErr w:type="spellStart"/>
      <w:r w:rsidRPr="00AC62AB">
        <w:rPr>
          <w:sz w:val="16"/>
          <w:szCs w:val="24"/>
        </w:rPr>
        <w:t>kriptopara</w:t>
      </w:r>
      <w:proofErr w:type="spellEnd"/>
      <w:r w:rsidRPr="00AC62AB">
        <w:rPr>
          <w:sz w:val="16"/>
          <w:szCs w:val="24"/>
        </w:rPr>
        <w:t xml:space="preserve"> getirilerine karşı etkin olmayan para birimleri olduğu da görülmektedir.</w:t>
      </w:r>
    </w:p>
    <w:p w14:paraId="79EAFAE1" w14:textId="77777777" w:rsidR="005C23C4" w:rsidRDefault="005C23C4" w:rsidP="00697AFA">
      <w:pPr>
        <w:spacing w:after="0" w:line="240" w:lineRule="auto"/>
        <w:jc w:val="both"/>
        <w:rPr>
          <w:sz w:val="16"/>
          <w:szCs w:val="24"/>
          <w:lang w:val="en-GB"/>
        </w:rPr>
      </w:pPr>
      <w:proofErr w:type="spellStart"/>
      <w:r>
        <w:rPr>
          <w:b/>
          <w:sz w:val="16"/>
          <w:szCs w:val="24"/>
          <w:lang w:val="en-GB"/>
        </w:rPr>
        <w:t>Sonuç</w:t>
      </w:r>
      <w:proofErr w:type="spellEnd"/>
      <w:r w:rsidRPr="009B42AD">
        <w:rPr>
          <w:b/>
          <w:sz w:val="16"/>
          <w:szCs w:val="24"/>
          <w:lang w:val="en-GB"/>
        </w:rPr>
        <w:t xml:space="preserve">- </w:t>
      </w:r>
      <w:r>
        <w:rPr>
          <w:sz w:val="16"/>
          <w:szCs w:val="24"/>
        </w:rPr>
        <w:t>Karşılaştırma sonuçları</w:t>
      </w:r>
      <w:r w:rsidRPr="00226D6D">
        <w:rPr>
          <w:sz w:val="16"/>
          <w:szCs w:val="24"/>
        </w:rPr>
        <w:t xml:space="preserve">, </w:t>
      </w:r>
      <w:proofErr w:type="spellStart"/>
      <w:proofErr w:type="gramStart"/>
      <w:r w:rsidRPr="00226D6D">
        <w:rPr>
          <w:sz w:val="16"/>
          <w:szCs w:val="24"/>
        </w:rPr>
        <w:t>kriptopara</w:t>
      </w:r>
      <w:r>
        <w:rPr>
          <w:sz w:val="16"/>
          <w:szCs w:val="24"/>
        </w:rPr>
        <w:t>ları</w:t>
      </w:r>
      <w:proofErr w:type="spellEnd"/>
      <w:r>
        <w:rPr>
          <w:sz w:val="16"/>
          <w:szCs w:val="24"/>
        </w:rPr>
        <w:t xml:space="preserve"> </w:t>
      </w:r>
      <w:r w:rsidRPr="00226D6D">
        <w:rPr>
          <w:sz w:val="16"/>
          <w:szCs w:val="24"/>
        </w:rPr>
        <w:t xml:space="preserve"> </w:t>
      </w:r>
      <w:r>
        <w:rPr>
          <w:sz w:val="16"/>
          <w:szCs w:val="24"/>
        </w:rPr>
        <w:t>portföylerine</w:t>
      </w:r>
      <w:proofErr w:type="gramEnd"/>
      <w:r>
        <w:rPr>
          <w:sz w:val="16"/>
          <w:szCs w:val="24"/>
        </w:rPr>
        <w:t xml:space="preserve"> dahil etmek isteyen yatırımcılara ve araştırmacılara ışık tutmaktadır.</w:t>
      </w:r>
    </w:p>
    <w:p w14:paraId="46A7843F" w14:textId="77777777" w:rsidR="005C23C4" w:rsidRPr="005769CF" w:rsidRDefault="005C23C4" w:rsidP="00697AFA">
      <w:pPr>
        <w:spacing w:after="0" w:line="240" w:lineRule="auto"/>
        <w:jc w:val="both"/>
        <w:rPr>
          <w:sz w:val="10"/>
          <w:szCs w:val="10"/>
          <w:lang w:val="en-GB"/>
        </w:rPr>
      </w:pPr>
    </w:p>
    <w:p w14:paraId="23893E21" w14:textId="77777777" w:rsidR="005C23C4" w:rsidRPr="009B42AD" w:rsidRDefault="005C23C4" w:rsidP="00697AFA">
      <w:pPr>
        <w:spacing w:after="0" w:line="240" w:lineRule="auto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Kriptopara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döviz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kuru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riski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stokastik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baskınlık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VaR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riske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maruz</w:t>
      </w:r>
      <w:proofErr w:type="spellEnd"/>
      <w:r>
        <w:rPr>
          <w:rFonts w:eastAsiaTheme="minorEastAsia"/>
          <w:color w:val="000000"/>
          <w:sz w:val="16"/>
          <w:szCs w:val="16"/>
          <w:lang w:val="en-GB" w:eastAsia="tr-TR"/>
        </w:rPr>
        <w:t xml:space="preserve"> </w:t>
      </w:r>
      <w:proofErr w:type="spellStart"/>
      <w:r>
        <w:rPr>
          <w:rFonts w:eastAsiaTheme="minorEastAsia"/>
          <w:color w:val="000000"/>
          <w:sz w:val="16"/>
          <w:szCs w:val="16"/>
          <w:lang w:val="en-GB" w:eastAsia="tr-TR"/>
        </w:rPr>
        <w:t>değer</w:t>
      </w:r>
      <w:proofErr w:type="spellEnd"/>
    </w:p>
    <w:p w14:paraId="63213846" w14:textId="77777777" w:rsidR="005C23C4" w:rsidRPr="009B42AD" w:rsidRDefault="005C23C4" w:rsidP="00697AFA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E44, G01, G32</w:t>
      </w:r>
    </w:p>
    <w:p w14:paraId="36ABCEF6" w14:textId="77777777" w:rsidR="008544EE" w:rsidRPr="00A5766E" w:rsidRDefault="008544EE" w:rsidP="00697AFA">
      <w:pPr>
        <w:pBdr>
          <w:bottom w:val="single" w:sz="12" w:space="1" w:color="auto"/>
        </w:pBdr>
        <w:spacing w:after="0" w:line="240" w:lineRule="auto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697AFA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54A1EC68" w14:textId="22B1E24B" w:rsidR="008544EE" w:rsidRPr="008645C1" w:rsidRDefault="008544EE" w:rsidP="009B3A08">
      <w:pPr>
        <w:spacing w:after="0" w:line="240" w:lineRule="auto"/>
        <w:jc w:val="both"/>
        <w:rPr>
          <w:rFonts w:cstheme="minorHAnsi"/>
          <w:sz w:val="20"/>
          <w:szCs w:val="16"/>
          <w:lang w:val="en-GB"/>
        </w:rPr>
      </w:pPr>
      <w:r w:rsidRPr="008645C1">
        <w:rPr>
          <w:rFonts w:cstheme="minorHAnsi"/>
          <w:b/>
          <w:sz w:val="20"/>
          <w:szCs w:val="16"/>
          <w:lang w:val="en-GB"/>
        </w:rPr>
        <w:t xml:space="preserve">1. </w:t>
      </w:r>
      <w:r w:rsidR="00EE5A1C" w:rsidRPr="008645C1">
        <w:rPr>
          <w:rFonts w:cstheme="minorHAnsi"/>
          <w:b/>
          <w:sz w:val="20"/>
          <w:szCs w:val="16"/>
          <w:lang w:val="en-GB"/>
        </w:rPr>
        <w:t>GİRİŞ</w:t>
      </w:r>
    </w:p>
    <w:p w14:paraId="4934E260" w14:textId="77777777" w:rsidR="002C206C" w:rsidRPr="008645C1" w:rsidRDefault="002C206C" w:rsidP="002C206C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 xml:space="preserve">Son yıllarda oldukça büyüyen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piyasası küresel olarak finans ve devlet kurumları tarafından da sıklıkla ele alınmaktadır. Binlerce çeşit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birimi içerisinden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kapitalizasyonunun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büyüklüğü nedeniyle en fazla bilineni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Bitcoin’dir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. 2020 yılı itibariyle en yüksek piyasa değerine sahip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para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(BTC)’i sırasıyla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Ether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(ETH),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Ripple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(XRP),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Tether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(USDT)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Cash (BCH) takip etmektedir (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CoinMarket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2020).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 2008’den bu yana, avantaj ve dezavantajlarına rağmen sayı ve işlem sıklığı açısından oldukça büyüme </w:t>
      </w:r>
      <w:r w:rsidRPr="008645C1">
        <w:rPr>
          <w:rFonts w:cstheme="minorHAnsi"/>
          <w:bCs/>
          <w:iCs/>
          <w:sz w:val="16"/>
          <w:szCs w:val="16"/>
        </w:rPr>
        <w:lastRenderedPageBreak/>
        <w:t xml:space="preserve">göstermektedirler. Anlık işlem yapabilme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ve  düşük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transfer ücretleri gibi zaman ve maliyetler açısından avantajlar sağlayan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ölçeklendirme, siber güvenlik ve volatilite gibi dezavantajları da taşımaktadırlar. Yatırımcılar açısından ise normallik varsayımını ihlal eden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fiyatlarındaki değişimler, alternatif bir finansal varlık olarak görülmelerini sağlamıştır.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birimlerinin, fiyat hareketliliklerindeki oynaklık nedeniyle geleneksel para birimlerine göre daha değişken ve dolayısıyla daha riskli oldukları bilinmektedir (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Osterrieder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Lorenz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2017;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Phillip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Chan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Peiris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2018;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Gkillas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Katsiampa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>, 2018).</w:t>
      </w:r>
    </w:p>
    <w:p w14:paraId="0CDD47BB" w14:textId="77777777" w:rsidR="002C206C" w:rsidRPr="008645C1" w:rsidRDefault="002C206C" w:rsidP="002C206C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 xml:space="preserve">Risk yönetimi ve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portföy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analizi açısından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piyasada hangi yeteneklere sahip olduğunun ortaya çıkarılması yatırımcılar için önem taşımaktadır. Genel olarak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ortak pek çok özellikleri olduğundan iktisatçılar tarafından, altın ile karşılaştırılmaktadır. Hem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hem de altın, değerlerinin çoğunlukla çıkarmanın az ve maliyetli olmasından almaktadır (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Dyhrberg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2016). İkisinin de uyruğu yok, her iki varlık da bir hükümet tarafından kontrol edilmiyor ancak birkaç bağımsız operatör ve şirket tarafından sürüldüğünden arz, yönetim ve kontrol süreçleri farklılık taşımaktadır.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Glaser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vd. (2014),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borsasının ticaret verileri,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Blockchain'den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işlem verileri,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Wikipedia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makalesi için ziyaretçi istatistikleri ve önemli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olaylarının tarihleri gibi bilgiler ışığında,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Bitcoin'i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ilk kez satın alan borsa kullanıcılarının, mal veya hizmetlerin ödemesi için kullanmak yerine bu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Bitcoinleri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spekülasyon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amacıyla takas cüzdanlarında tuttuklarını belirtmişlerdir. Çalışmalarındaki bu sonucu ayrıca,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fiyatlarının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birimiyle ilgili haberlerden etkilenmesi, kullanıcı taleplerinin borsada işlem gören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hacmi üzerinde etkili olması ancak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sistemi içindeki hacim üzerinde etkisi olmaması durumuyla desteklemektedirler. Kuzu ve Çelik (2020)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ile diğer geleneksel yatırım araçları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arasında  uzun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vadede eş bütünleşme ilişkisi görülmemesine ve mikro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açıdan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taşıdığı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risklere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rağmen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Bitcoin’in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portföy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çeşitlendirme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aracı olarak düşünülebileceğine değinmektedirler.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üzerine yapılan analizler, piyasada ne tür bir role sahip olduklarını ortaya çıkarmak açısından önemlidir. </w:t>
      </w:r>
    </w:p>
    <w:p w14:paraId="5F209BF8" w14:textId="585015B8" w:rsidR="00266004" w:rsidRPr="008645C1" w:rsidRDefault="002C206C" w:rsidP="00A5766E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  <w:lang w:val="en-GB"/>
        </w:rPr>
      </w:pPr>
      <w:r w:rsidRPr="008645C1">
        <w:rPr>
          <w:rFonts w:cstheme="minorHAnsi"/>
          <w:bCs/>
          <w:iCs/>
          <w:sz w:val="16"/>
          <w:szCs w:val="16"/>
        </w:rPr>
        <w:t xml:space="preserve">Bu makale, bir yatırım aracı olarak kullanılması durumunda,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birimlerinin fiyat değişimleri ile oluşan getirilerinde maruz kalınacak riskin ölçülmesine odaklanmaktadır. Finans alanında geleneksel olarak bilinen R-kare,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Sharpe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oranı ve beta gibi risk ölçüleri kullanılmaktadır. Bir diğer risk ölçüsü ise teme</w:t>
      </w:r>
      <w:r w:rsidR="00670C34" w:rsidRPr="008645C1">
        <w:rPr>
          <w:rFonts w:cstheme="minorHAnsi"/>
          <w:bCs/>
          <w:iCs/>
          <w:sz w:val="16"/>
          <w:szCs w:val="16"/>
        </w:rPr>
        <w:t xml:space="preserve">li 1960’lara dayanan </w:t>
      </w:r>
      <w:proofErr w:type="spellStart"/>
      <w:r w:rsidR="00670C34" w:rsidRPr="008645C1">
        <w:rPr>
          <w:rFonts w:cstheme="minorHAnsi"/>
          <w:bCs/>
          <w:iCs/>
          <w:sz w:val="16"/>
          <w:szCs w:val="16"/>
        </w:rPr>
        <w:t>Stokastik</w:t>
      </w:r>
      <w:proofErr w:type="spellEnd"/>
      <w:r w:rsidR="00670C34" w:rsidRPr="008645C1">
        <w:rPr>
          <w:rFonts w:cstheme="minorHAnsi"/>
          <w:bCs/>
          <w:iCs/>
          <w:sz w:val="16"/>
          <w:szCs w:val="16"/>
        </w:rPr>
        <w:t xml:space="preserve"> Baskınlık </w:t>
      </w:r>
      <w:proofErr w:type="gramStart"/>
      <w:r w:rsidR="00670C34" w:rsidRPr="008645C1">
        <w:rPr>
          <w:rFonts w:cstheme="minorHAnsi"/>
          <w:bCs/>
          <w:iCs/>
          <w:sz w:val="16"/>
          <w:szCs w:val="16"/>
        </w:rPr>
        <w:t>kriteridir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. </w:t>
      </w:r>
      <w:bookmarkStart w:id="1" w:name="_Toc361001155"/>
      <w:proofErr w:type="spellStart"/>
      <w:r w:rsidR="00266004"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="00266004" w:rsidRPr="008645C1">
        <w:rPr>
          <w:rFonts w:cstheme="minorHAnsi"/>
          <w:bCs/>
          <w:iCs/>
          <w:sz w:val="16"/>
          <w:szCs w:val="16"/>
        </w:rPr>
        <w:t xml:space="preserve"> döviz kuru getirileri, yüksek </w:t>
      </w:r>
      <w:proofErr w:type="gramStart"/>
      <w:r w:rsidR="00266004" w:rsidRPr="008645C1">
        <w:rPr>
          <w:rFonts w:cstheme="minorHAnsi"/>
          <w:bCs/>
          <w:iCs/>
          <w:sz w:val="16"/>
          <w:szCs w:val="16"/>
        </w:rPr>
        <w:t>volatilite</w:t>
      </w:r>
      <w:proofErr w:type="gramEnd"/>
      <w:r w:rsidR="00266004" w:rsidRPr="008645C1">
        <w:rPr>
          <w:rFonts w:cstheme="minorHAnsi"/>
          <w:bCs/>
          <w:iCs/>
          <w:sz w:val="16"/>
          <w:szCs w:val="16"/>
        </w:rPr>
        <w:t xml:space="preserve"> ve birbirleri arasında korelasyon sergilemektedirler. Ayrıca normal dağılım özelliğini de sağlamamaktadırlar.</w:t>
      </w:r>
      <w:r w:rsidR="00263B74"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="00266004" w:rsidRPr="008645C1">
        <w:rPr>
          <w:rFonts w:cstheme="minorHAnsi"/>
          <w:bCs/>
          <w:iCs/>
          <w:sz w:val="16"/>
          <w:szCs w:val="16"/>
        </w:rPr>
        <w:t>Stokastik</w:t>
      </w:r>
      <w:proofErr w:type="spellEnd"/>
      <w:r w:rsidR="00266004" w:rsidRPr="008645C1">
        <w:rPr>
          <w:rFonts w:cstheme="minorHAnsi"/>
          <w:bCs/>
          <w:iCs/>
          <w:sz w:val="16"/>
          <w:szCs w:val="16"/>
        </w:rPr>
        <w:t xml:space="preserve"> baskınlık özellikle normal dağılım sergilemeyen finansal getiri serilerinin riskinin analizinde başvurulan herhangi bir </w:t>
      </w:r>
      <w:r w:rsidR="00266004" w:rsidRPr="007A2296">
        <w:rPr>
          <w:rFonts w:cstheme="minorHAnsi"/>
          <w:bCs/>
          <w:iCs/>
          <w:sz w:val="16"/>
          <w:szCs w:val="16"/>
        </w:rPr>
        <w:t xml:space="preserve">dağılım varsayımına dayanmayan </w:t>
      </w:r>
      <w:proofErr w:type="spellStart"/>
      <w:r w:rsidR="00266004" w:rsidRPr="007A2296">
        <w:rPr>
          <w:rFonts w:cstheme="minorHAnsi"/>
          <w:bCs/>
          <w:iCs/>
          <w:sz w:val="16"/>
          <w:szCs w:val="16"/>
        </w:rPr>
        <w:t>nonparametrik</w:t>
      </w:r>
      <w:proofErr w:type="spellEnd"/>
      <w:r w:rsidR="00266004" w:rsidRPr="007A2296">
        <w:rPr>
          <w:rFonts w:cstheme="minorHAnsi"/>
          <w:bCs/>
          <w:iCs/>
          <w:sz w:val="16"/>
          <w:szCs w:val="16"/>
        </w:rPr>
        <w:t xml:space="preserve"> bir yaklaşımdır.</w:t>
      </w:r>
      <w:r w:rsidR="00263B74" w:rsidRPr="007A2296">
        <w:rPr>
          <w:rFonts w:cstheme="minorHAnsi"/>
          <w:bCs/>
          <w:iCs/>
          <w:sz w:val="16"/>
          <w:szCs w:val="16"/>
          <w:lang w:val="en-GB"/>
        </w:rPr>
        <w:t xml:space="preserve"> </w:t>
      </w:r>
      <w:r w:rsidR="00266004" w:rsidRPr="007A2296">
        <w:rPr>
          <w:rFonts w:cstheme="minorHAnsi"/>
          <w:bCs/>
          <w:iCs/>
          <w:sz w:val="16"/>
          <w:szCs w:val="16"/>
        </w:rPr>
        <w:t xml:space="preserve">Bu çalışmada, </w:t>
      </w:r>
      <w:proofErr w:type="spellStart"/>
      <w:r w:rsidR="00266004" w:rsidRPr="007A2296">
        <w:rPr>
          <w:rFonts w:cstheme="minorHAnsi"/>
          <w:bCs/>
          <w:iCs/>
          <w:sz w:val="16"/>
          <w:szCs w:val="16"/>
        </w:rPr>
        <w:t>kriptopara</w:t>
      </w:r>
      <w:proofErr w:type="spellEnd"/>
      <w:r w:rsidR="00266004" w:rsidRPr="007A2296">
        <w:rPr>
          <w:rFonts w:cstheme="minorHAnsi"/>
          <w:bCs/>
          <w:iCs/>
          <w:sz w:val="16"/>
          <w:szCs w:val="16"/>
        </w:rPr>
        <w:t xml:space="preserve"> döviz kuru getirilerinin birbirlerine göre etkinlikleri ikinci dereceden </w:t>
      </w:r>
      <w:proofErr w:type="spellStart"/>
      <w:r w:rsidR="00266004" w:rsidRPr="007A2296">
        <w:rPr>
          <w:rFonts w:cstheme="minorHAnsi"/>
          <w:bCs/>
          <w:iCs/>
          <w:sz w:val="16"/>
          <w:szCs w:val="16"/>
        </w:rPr>
        <w:t>stokastik</w:t>
      </w:r>
      <w:proofErr w:type="spellEnd"/>
      <w:r w:rsidR="00266004" w:rsidRPr="007A2296">
        <w:rPr>
          <w:rFonts w:cstheme="minorHAnsi"/>
          <w:bCs/>
          <w:iCs/>
          <w:sz w:val="16"/>
          <w:szCs w:val="16"/>
        </w:rPr>
        <w:t xml:space="preserve"> baskınlık </w:t>
      </w:r>
      <w:proofErr w:type="gramStart"/>
      <w:r w:rsidR="00266004" w:rsidRPr="007A2296">
        <w:rPr>
          <w:rFonts w:cstheme="minorHAnsi"/>
          <w:bCs/>
          <w:iCs/>
          <w:sz w:val="16"/>
          <w:szCs w:val="16"/>
        </w:rPr>
        <w:t>kriteri</w:t>
      </w:r>
      <w:proofErr w:type="gramEnd"/>
      <w:r w:rsidR="00266004" w:rsidRPr="008645C1">
        <w:rPr>
          <w:rFonts w:cstheme="minorHAnsi"/>
          <w:b/>
          <w:bCs/>
          <w:iCs/>
          <w:sz w:val="16"/>
          <w:szCs w:val="16"/>
        </w:rPr>
        <w:t xml:space="preserve"> </w:t>
      </w:r>
      <w:r w:rsidR="00266004" w:rsidRPr="008645C1">
        <w:rPr>
          <w:rFonts w:cstheme="minorHAnsi"/>
          <w:bCs/>
          <w:iCs/>
          <w:sz w:val="16"/>
          <w:szCs w:val="16"/>
        </w:rPr>
        <w:t xml:space="preserve">ile karşılaştırılmıştır. </w:t>
      </w:r>
    </w:p>
    <w:p w14:paraId="3A0FB26A" w14:textId="6681A6EC" w:rsidR="008544EE" w:rsidRPr="008645C1" w:rsidRDefault="008544EE" w:rsidP="00A5766E">
      <w:pPr>
        <w:spacing w:before="120" w:after="120" w:line="240" w:lineRule="auto"/>
        <w:jc w:val="both"/>
        <w:rPr>
          <w:rFonts w:cstheme="minorHAnsi"/>
          <w:b/>
          <w:sz w:val="20"/>
          <w:szCs w:val="16"/>
          <w:lang w:val="en-GB"/>
        </w:rPr>
      </w:pPr>
      <w:r w:rsidRPr="008645C1">
        <w:rPr>
          <w:rFonts w:cstheme="minorHAnsi"/>
          <w:b/>
          <w:sz w:val="20"/>
          <w:szCs w:val="16"/>
          <w:lang w:val="en-GB"/>
        </w:rPr>
        <w:t>2. L</w:t>
      </w:r>
      <w:r w:rsidR="00CC2E5E" w:rsidRPr="008645C1">
        <w:rPr>
          <w:rFonts w:cstheme="minorHAnsi"/>
          <w:b/>
          <w:sz w:val="20"/>
          <w:szCs w:val="16"/>
          <w:lang w:val="en-GB"/>
        </w:rPr>
        <w:t>İ</w:t>
      </w:r>
      <w:r w:rsidRPr="008645C1">
        <w:rPr>
          <w:rFonts w:cstheme="minorHAnsi"/>
          <w:b/>
          <w:sz w:val="20"/>
          <w:szCs w:val="16"/>
          <w:lang w:val="en-GB"/>
        </w:rPr>
        <w:t>TERAT</w:t>
      </w:r>
      <w:r w:rsidR="00CC2E5E" w:rsidRPr="008645C1">
        <w:rPr>
          <w:rFonts w:cstheme="minorHAnsi"/>
          <w:b/>
          <w:sz w:val="20"/>
          <w:szCs w:val="16"/>
          <w:lang w:val="en-GB"/>
        </w:rPr>
        <w:t>Ü</w:t>
      </w:r>
      <w:r w:rsidRPr="008645C1">
        <w:rPr>
          <w:rFonts w:cstheme="minorHAnsi"/>
          <w:b/>
          <w:sz w:val="20"/>
          <w:szCs w:val="16"/>
          <w:lang w:val="en-GB"/>
        </w:rPr>
        <w:t>R</w:t>
      </w:r>
    </w:p>
    <w:p w14:paraId="24AB684A" w14:textId="0C3217CE" w:rsidR="005967E6" w:rsidRPr="008645C1" w:rsidRDefault="005967E6" w:rsidP="00CC2E5E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 xml:space="preserve">Etkin olmayan finansal piyasalarda, yatırımcıların getiriler üzerine analiz ve tahminler yaparak pozisyon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almasları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mümkün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olabilmektedir. Ancak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kurlarındaki dalgalanmalar işlem yapmak veya borsada kullanmak amacıyla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tutanları piyasa riskine maruz bırakmaktadır (Atıcı, 2020). Yapılan çalışmalarda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fiyatlarında artan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trend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ve getirilerinde oluşan yüksek volatilite risk unsuru olarak gösterilmektedir (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Stavroyiannis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2018; Güleç, Çevik ve Bahadır, 2018; Şahin ve Özkan, 2018). Başta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olmak üzere farklı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volatilitelerinin modellenmesine ilişkin anlamlı sonuçlar içeren pek çok çalışma bulunmaktadır (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Glaser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vd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.,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2014;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Dyhrberg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2016;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Katsiampa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2017; Güleç, 2019;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Katsiampa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Corbet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Lucey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2019; Ertuğrul, 2019;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Silahli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vd., 2019;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Bouri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Lucey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Roubaud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2020;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Jiménez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Mora-Valencia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Perote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2020; Kayral, 2020;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Platanakis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Urquhart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2020). Asimetrik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volatilite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modellerini uyguladığı çalışmasında Akkuş ve Çelik (2020)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getiri volatilitesinde uzun hafızanın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varlığı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tespit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etmis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̧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piyasasındaki pozitif haber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şoklarının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negatif haber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şoklarına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kıyasla volatiliteyi daha fazla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arttırdığı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sonucuna varmıştır. Dolayısıyla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fiyatlarındaki oynaklık kamuya açıklanan bilgilerden de etkilenmektedir (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Bartos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2015). Teorik olarak asimetrik bilgi ortamının hakim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olduğu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fiyat hareketlerinin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spekülatif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nedenlerden etkilendiği bir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piyasasında, teknik analiz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yöntemleri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kullanılarak fiyatlar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önceden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tahmin edilebilir (Uyar,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Kelten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Moralı, 2020). </w:t>
      </w:r>
    </w:p>
    <w:p w14:paraId="5ECCAD42" w14:textId="2CBE5F5D" w:rsidR="005967E6" w:rsidRPr="008645C1" w:rsidRDefault="005967E6" w:rsidP="005967E6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 xml:space="preserve">Karaağaç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Altınırmak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(2018) 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yüksek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piyasa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değerine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bunun yanında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yüksek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işlem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hacmine sahip 10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birimlerinin,  Konuşkan vd. (2019) ise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ile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Ether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Ripple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birimlerinin fiyat hareketlerini nedensellik ilişkisiyle inceleyerek kısa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dönemde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etkileşim içinde olduklarını ortaya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koymuşlardır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. Kanat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Öget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(2018) analizleri sonucunda, İngiltere (FTSE), Amerika Birleşik Devletleri (S&amp;P 500) ve Kanada (STSX) Borsasının,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fiyatının dalgalanması hakkında kısa vadede fikir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verebileceği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dolayısıyla yatırımcıların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Bitcoin’e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yatırım yaparak risklerini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çeşitlendirme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yoluna gidebileceği kanaatindedirler. Bunun yanında Kılıç ve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Çütçü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(2018) BIST-100 endeksi ile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fiyatları arasında orta ve uzun vadede bir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eşbütünleşme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etkisinin bulunmadığını tespit etmişlerdir.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 xml:space="preserve">Benzer şekilde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Azimov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Alkan (2019)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ekonometrik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analizleri sonucunda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Çin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Rusya’nın ulusal para birimlerin dolar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karşısındaki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kuru, bu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ülkelerin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ulusal rezervleri ve piyasa endeksleri ile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Bitcoin’in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dolar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karşısındaki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performansını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araştırmış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ve fiyat serilerinin uzun vadede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eşbütünleşik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ilişkili oldukları sonucuna varmışlardır. 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Tüm bu çalışmaların sonuçları unutulmamalıdır ki kapsadığı dönemi bağlamaktadır. Gül (2020), çalışmasında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portföy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çeşitlendirmesindeki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performanslarını değerlendirmiştir. Hisse senetleri, emtialar,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döviz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kurları ve yatırım fonlarından meydana gelen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portföylere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ayrıca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eklenmesiyle, genel olarak daha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yüksek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getiri ve daha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düşük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risk seviyelerine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ulaşıldığını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görmüştür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. Dolayısıyla,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portföy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çeşitlendirmesinde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kullanılabileceği sonucuna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varmıştır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. Yağmur ve Mangır (2020), yine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fiyatlarındaki hareketlilik nedeniyle, parasal niteliğindense kısa vadeli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spekülatif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 finansal yatırım aracı olma özelliğine dikkati çekmişlerdir.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Koutmos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(2019), farklı bir yatırım aracı olarak ortaya çıkan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Bitcoin’in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, ekonomik değişkenlere göre görünüşte ilgi çekici bağımsız davranıştaki fiyatlarına rağmen, geleneksel finansal varlıklarıyla aynı tür piyasa risklerine maruz kalabileceği konusunda uyarmaktadır. </w:t>
      </w:r>
    </w:p>
    <w:p w14:paraId="1E5D4C40" w14:textId="44AE1E97" w:rsidR="009544F8" w:rsidRPr="008645C1" w:rsidRDefault="009544F8" w:rsidP="005967E6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 xml:space="preserve">Geleneksel portföylere,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dahil edilmesiyle sağlanan faydalar üzerine çalışmalar;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kriptoparaların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portföy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riskinin düşürülmesinde etkili olduklarını ve aynı zamanda portföy çeşitlendirmede de alternatif olduklarına değinmektedirler: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Dyhrberg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2016;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Ibragimov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Prokhorow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>, 2016</w:t>
      </w:r>
      <w:r w:rsidR="001C07D0" w:rsidRPr="008645C1">
        <w:rPr>
          <w:rFonts w:cstheme="minorHAnsi"/>
          <w:bCs/>
          <w:iCs/>
          <w:sz w:val="16"/>
          <w:szCs w:val="16"/>
        </w:rPr>
        <w:t xml:space="preserve">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Andrianto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Diputra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2017;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Chuen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Guo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Wang, 2017</w:t>
      </w:r>
      <w:r w:rsidR="001C07D0" w:rsidRPr="008645C1">
        <w:rPr>
          <w:rFonts w:cstheme="minorHAnsi"/>
          <w:bCs/>
          <w:iCs/>
          <w:sz w:val="16"/>
          <w:szCs w:val="16"/>
        </w:rPr>
        <w:t xml:space="preserve">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Mba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Pindza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Koumba,2018;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Borri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2019;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</w:rPr>
        <w:t>Brauneis</w:t>
      </w:r>
      <w:proofErr w:type="spellEnd"/>
      <w:r w:rsidR="004F1207" w:rsidRPr="008645C1">
        <w:rPr>
          <w:rFonts w:cstheme="minorHAnsi"/>
          <w:bCs/>
          <w:iCs/>
          <w:sz w:val="16"/>
          <w:szCs w:val="16"/>
        </w:rPr>
        <w:t xml:space="preserve"> ve Mestel,2019; Liu,2019</w:t>
      </w:r>
      <w:r w:rsidR="001C07D0" w:rsidRPr="008645C1">
        <w:rPr>
          <w:rFonts w:cstheme="minorHAnsi"/>
          <w:bCs/>
          <w:iCs/>
          <w:sz w:val="16"/>
          <w:szCs w:val="16"/>
        </w:rPr>
        <w:t xml:space="preserve">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Bouri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Lucey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Rouboud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2020;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Platanakis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Urquhart, 2020.</w:t>
      </w:r>
    </w:p>
    <w:p w14:paraId="703D5CCA" w14:textId="07DD7388" w:rsidR="00053BB0" w:rsidRPr="008645C1" w:rsidRDefault="005967E6" w:rsidP="00266004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 xml:space="preserve">Finansal yatırımlarda ilgili tüm taraflar,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birimlerinin fiyat hareketlerindeki oynaklıktan kar kaybına uğrayarak etkilenebilmektedir (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Likitratcharoen</w:t>
      </w:r>
      <w:proofErr w:type="spellEnd"/>
      <w:r w:rsidRPr="008645C1">
        <w:rPr>
          <w:rFonts w:cstheme="minorHAnsi"/>
          <w:b/>
          <w:bCs/>
          <w:iCs/>
          <w:sz w:val="16"/>
          <w:szCs w:val="16"/>
        </w:rPr>
        <w:t xml:space="preserve"> </w:t>
      </w:r>
      <w:r w:rsidRPr="008645C1">
        <w:rPr>
          <w:rFonts w:cstheme="minorHAnsi"/>
          <w:bCs/>
          <w:iCs/>
          <w:sz w:val="16"/>
          <w:szCs w:val="16"/>
        </w:rPr>
        <w:t>vd</w:t>
      </w:r>
      <w:proofErr w:type="gramStart"/>
      <w:r w:rsidRPr="008645C1">
        <w:rPr>
          <w:rFonts w:cstheme="minorHAnsi"/>
          <w:bCs/>
          <w:iCs/>
          <w:sz w:val="16"/>
          <w:szCs w:val="16"/>
        </w:rPr>
        <w:t>.,</w:t>
      </w:r>
      <w:proofErr w:type="gramEnd"/>
      <w:r w:rsidRPr="008645C1">
        <w:rPr>
          <w:rFonts w:cstheme="minorHAnsi"/>
          <w:bCs/>
          <w:iCs/>
          <w:sz w:val="16"/>
          <w:szCs w:val="16"/>
        </w:rPr>
        <w:t xml:space="preserve"> 2018). Bu nedenlerle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birimlerinin fiyatlarındaki oynaklık borsada kullanıcıların ilgisinde olmaktadır.</w:t>
      </w:r>
      <w:r w:rsidR="007F6987"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="005D4ACD"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="005D4ACD" w:rsidRPr="008645C1">
        <w:rPr>
          <w:rFonts w:cstheme="minorHAnsi"/>
          <w:bCs/>
          <w:iCs/>
          <w:sz w:val="16"/>
          <w:szCs w:val="16"/>
        </w:rPr>
        <w:t xml:space="preserve"> getirilerinin </w:t>
      </w:r>
      <w:r w:rsidR="00212588" w:rsidRPr="008645C1">
        <w:rPr>
          <w:rFonts w:cstheme="minorHAnsi"/>
          <w:bCs/>
          <w:iCs/>
          <w:sz w:val="16"/>
          <w:szCs w:val="16"/>
        </w:rPr>
        <w:t xml:space="preserve">ikinci dereceden </w:t>
      </w:r>
      <w:proofErr w:type="spellStart"/>
      <w:r w:rsidR="00212588" w:rsidRPr="008645C1">
        <w:rPr>
          <w:rFonts w:cstheme="minorHAnsi"/>
          <w:bCs/>
          <w:iCs/>
          <w:sz w:val="16"/>
          <w:szCs w:val="16"/>
        </w:rPr>
        <w:t>stokastik</w:t>
      </w:r>
      <w:proofErr w:type="spellEnd"/>
      <w:r w:rsidR="00212588" w:rsidRPr="008645C1">
        <w:rPr>
          <w:rFonts w:cstheme="minorHAnsi"/>
          <w:bCs/>
          <w:iCs/>
          <w:sz w:val="16"/>
          <w:szCs w:val="16"/>
        </w:rPr>
        <w:t xml:space="preserve"> baskınlık </w:t>
      </w:r>
      <w:proofErr w:type="gramStart"/>
      <w:r w:rsidR="005D4ACD" w:rsidRPr="008645C1">
        <w:rPr>
          <w:rFonts w:cstheme="minorHAnsi"/>
          <w:bCs/>
          <w:iCs/>
          <w:sz w:val="16"/>
          <w:szCs w:val="16"/>
        </w:rPr>
        <w:t>kriteri</w:t>
      </w:r>
      <w:proofErr w:type="gramEnd"/>
      <w:r w:rsidR="005D4ACD" w:rsidRPr="008645C1">
        <w:rPr>
          <w:rFonts w:cstheme="minorHAnsi"/>
          <w:bCs/>
          <w:iCs/>
          <w:sz w:val="16"/>
          <w:szCs w:val="16"/>
        </w:rPr>
        <w:t xml:space="preserve"> </w:t>
      </w:r>
      <w:r w:rsidR="007F6987" w:rsidRPr="008645C1">
        <w:rPr>
          <w:rFonts w:cstheme="minorHAnsi"/>
          <w:bCs/>
          <w:iCs/>
          <w:sz w:val="16"/>
          <w:szCs w:val="16"/>
        </w:rPr>
        <w:t xml:space="preserve">ile </w:t>
      </w:r>
      <w:r w:rsidR="00212588" w:rsidRPr="008645C1">
        <w:rPr>
          <w:rFonts w:cstheme="minorHAnsi"/>
          <w:bCs/>
          <w:iCs/>
          <w:sz w:val="16"/>
          <w:szCs w:val="16"/>
        </w:rPr>
        <w:t xml:space="preserve">etkinlik </w:t>
      </w:r>
      <w:r w:rsidR="005D4ACD" w:rsidRPr="008645C1">
        <w:rPr>
          <w:rFonts w:cstheme="minorHAnsi"/>
          <w:bCs/>
          <w:iCs/>
          <w:sz w:val="16"/>
          <w:szCs w:val="16"/>
        </w:rPr>
        <w:t>analizi üzerine</w:t>
      </w:r>
      <w:r w:rsidR="007F6987" w:rsidRPr="008645C1">
        <w:rPr>
          <w:rFonts w:cstheme="minorHAnsi"/>
          <w:bCs/>
          <w:iCs/>
          <w:sz w:val="16"/>
          <w:szCs w:val="16"/>
        </w:rPr>
        <w:t xml:space="preserve"> çalışmalar </w:t>
      </w:r>
      <w:r w:rsidR="00591A78" w:rsidRPr="008645C1">
        <w:rPr>
          <w:rFonts w:cstheme="minorHAnsi"/>
          <w:bCs/>
          <w:iCs/>
          <w:sz w:val="16"/>
          <w:szCs w:val="16"/>
        </w:rPr>
        <w:t>olduk</w:t>
      </w:r>
      <w:r w:rsidR="007F6987" w:rsidRPr="008645C1">
        <w:rPr>
          <w:rFonts w:cstheme="minorHAnsi"/>
          <w:bCs/>
          <w:iCs/>
          <w:sz w:val="16"/>
          <w:szCs w:val="16"/>
        </w:rPr>
        <w:t>ç</w:t>
      </w:r>
      <w:r w:rsidR="00591A78" w:rsidRPr="008645C1">
        <w:rPr>
          <w:rFonts w:cstheme="minorHAnsi"/>
          <w:bCs/>
          <w:iCs/>
          <w:sz w:val="16"/>
          <w:szCs w:val="16"/>
        </w:rPr>
        <w:t>a</w:t>
      </w:r>
      <w:r w:rsidR="007F6987" w:rsidRPr="008645C1">
        <w:rPr>
          <w:rFonts w:cstheme="minorHAnsi"/>
          <w:bCs/>
          <w:iCs/>
          <w:sz w:val="16"/>
          <w:szCs w:val="16"/>
        </w:rPr>
        <w:t xml:space="preserve"> azdır</w:t>
      </w:r>
      <w:r w:rsidR="007F4161" w:rsidRPr="008645C1">
        <w:rPr>
          <w:rFonts w:cstheme="minorHAnsi"/>
          <w:bCs/>
          <w:iCs/>
          <w:sz w:val="16"/>
          <w:szCs w:val="16"/>
        </w:rPr>
        <w:t xml:space="preserve">. İkinci dereceden </w:t>
      </w:r>
      <w:proofErr w:type="spellStart"/>
      <w:r w:rsidR="007F4161" w:rsidRPr="008645C1">
        <w:rPr>
          <w:rFonts w:cstheme="minorHAnsi"/>
          <w:bCs/>
          <w:iCs/>
          <w:sz w:val="16"/>
          <w:szCs w:val="16"/>
        </w:rPr>
        <w:t>stokastik</w:t>
      </w:r>
      <w:proofErr w:type="spellEnd"/>
      <w:r w:rsidR="007F4161" w:rsidRPr="008645C1">
        <w:rPr>
          <w:rFonts w:cstheme="minorHAnsi"/>
          <w:bCs/>
          <w:iCs/>
          <w:sz w:val="16"/>
          <w:szCs w:val="16"/>
        </w:rPr>
        <w:t xml:space="preserve"> baskınlığı </w:t>
      </w:r>
      <w:proofErr w:type="spellStart"/>
      <w:r w:rsidR="00266004" w:rsidRPr="008645C1">
        <w:rPr>
          <w:rFonts w:cstheme="minorHAnsi"/>
          <w:bCs/>
          <w:iCs/>
          <w:sz w:val="16"/>
          <w:szCs w:val="16"/>
          <w:lang w:val="en-US"/>
        </w:rPr>
        <w:lastRenderedPageBreak/>
        <w:t>kriptopara</w:t>
      </w:r>
      <w:proofErr w:type="spellEnd"/>
      <w:r w:rsidR="00266004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266004" w:rsidRPr="008645C1">
        <w:rPr>
          <w:rFonts w:cstheme="minorHAnsi"/>
          <w:bCs/>
          <w:iCs/>
          <w:sz w:val="16"/>
          <w:szCs w:val="16"/>
          <w:lang w:val="en-US"/>
        </w:rPr>
        <w:t>içeren</w:t>
      </w:r>
      <w:proofErr w:type="spellEnd"/>
      <w:r w:rsidR="00266004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proofErr w:type="gramStart"/>
      <w:r w:rsidR="00266004" w:rsidRPr="008645C1">
        <w:rPr>
          <w:rFonts w:cstheme="minorHAnsi"/>
          <w:bCs/>
          <w:iCs/>
          <w:sz w:val="16"/>
          <w:szCs w:val="16"/>
          <w:lang w:val="en-US"/>
        </w:rPr>
        <w:t>portföy</w:t>
      </w:r>
      <w:proofErr w:type="spellEnd"/>
      <w:proofErr w:type="gramEnd"/>
      <w:r w:rsidR="00266004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266004" w:rsidRPr="008645C1">
        <w:rPr>
          <w:rFonts w:cstheme="minorHAnsi"/>
          <w:bCs/>
          <w:iCs/>
          <w:sz w:val="16"/>
          <w:szCs w:val="16"/>
          <w:lang w:val="en-US"/>
        </w:rPr>
        <w:t>yatırımlarında</w:t>
      </w:r>
      <w:proofErr w:type="spellEnd"/>
      <w:r w:rsidR="00266004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266004" w:rsidRPr="008645C1">
        <w:rPr>
          <w:rFonts w:cstheme="minorHAnsi"/>
          <w:bCs/>
          <w:iCs/>
          <w:sz w:val="16"/>
          <w:szCs w:val="16"/>
          <w:lang w:val="en-US"/>
        </w:rPr>
        <w:t>kullanan</w:t>
      </w:r>
      <w:proofErr w:type="spellEnd"/>
      <w:r w:rsidR="00266004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266004" w:rsidRPr="008645C1">
        <w:rPr>
          <w:rFonts w:cstheme="minorHAnsi"/>
          <w:bCs/>
          <w:iCs/>
          <w:sz w:val="16"/>
          <w:szCs w:val="16"/>
          <w:lang w:val="en-US"/>
        </w:rPr>
        <w:t>çalışmalar</w:t>
      </w:r>
      <w:proofErr w:type="spellEnd"/>
      <w:r w:rsidR="00266004" w:rsidRPr="008645C1">
        <w:rPr>
          <w:rFonts w:cstheme="minorHAnsi"/>
          <w:bCs/>
          <w:iCs/>
          <w:sz w:val="16"/>
          <w:szCs w:val="16"/>
          <w:lang w:val="en-US"/>
        </w:rPr>
        <w:t>;</w:t>
      </w:r>
      <w:r w:rsidR="006B08F2"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Anyfantaki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,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Arvanitis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Topaloglou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>, 2018</w:t>
      </w:r>
      <w:r w:rsidR="006B08F2" w:rsidRPr="008645C1">
        <w:rPr>
          <w:rFonts w:cstheme="minorHAnsi"/>
          <w:bCs/>
          <w:iCs/>
          <w:sz w:val="16"/>
          <w:szCs w:val="16"/>
        </w:rPr>
        <w:t xml:space="preserve">;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Topaloglou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Tsomidis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>, 2018</w:t>
      </w:r>
      <w:r w:rsidR="006B08F2"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Belhadj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bCs/>
          <w:iCs/>
          <w:sz w:val="16"/>
          <w:szCs w:val="16"/>
          <w:lang w:val="en-US"/>
        </w:rPr>
        <w:t>ve</w:t>
      </w:r>
      <w:proofErr w:type="spellEnd"/>
      <w:r w:rsidR="004F1207" w:rsidRPr="008645C1">
        <w:rPr>
          <w:rFonts w:cstheme="minorHAnsi"/>
          <w:bCs/>
          <w:iCs/>
          <w:sz w:val="16"/>
          <w:szCs w:val="16"/>
          <w:lang w:val="en-US"/>
        </w:rPr>
        <w:t xml:space="preserve"> Ben Hamad, 2019</w:t>
      </w:r>
      <w:bookmarkStart w:id="2" w:name="_Toc361001188"/>
      <w:bookmarkEnd w:id="1"/>
      <w:r w:rsidR="00105BD0" w:rsidRPr="008645C1">
        <w:rPr>
          <w:rFonts w:cstheme="minorHAnsi"/>
          <w:bCs/>
          <w:iCs/>
          <w:sz w:val="16"/>
          <w:szCs w:val="16"/>
          <w:lang w:val="en-US"/>
        </w:rPr>
        <w:t>.</w:t>
      </w:r>
    </w:p>
    <w:p w14:paraId="19BD591D" w14:textId="453DC46E" w:rsidR="008544EE" w:rsidRPr="00697AFA" w:rsidRDefault="008544EE" w:rsidP="00A5766E">
      <w:pPr>
        <w:spacing w:before="120" w:after="120" w:line="240" w:lineRule="auto"/>
        <w:jc w:val="both"/>
        <w:rPr>
          <w:rFonts w:cstheme="minorHAnsi"/>
          <w:bCs/>
          <w:iCs/>
          <w:sz w:val="20"/>
          <w:szCs w:val="16"/>
          <w:lang w:val="en-GB"/>
        </w:rPr>
      </w:pPr>
      <w:r w:rsidRPr="00697AFA">
        <w:rPr>
          <w:rFonts w:cstheme="minorHAnsi"/>
          <w:b/>
          <w:sz w:val="20"/>
          <w:szCs w:val="16"/>
          <w:lang w:val="en-GB"/>
        </w:rPr>
        <w:t xml:space="preserve">3. </w:t>
      </w:r>
      <w:bookmarkEnd w:id="2"/>
      <w:r w:rsidR="008D1DCF" w:rsidRPr="00697AFA">
        <w:rPr>
          <w:rFonts w:cstheme="minorHAnsi"/>
          <w:b/>
          <w:sz w:val="20"/>
          <w:szCs w:val="16"/>
          <w:lang w:val="en-GB"/>
        </w:rPr>
        <w:t>VERİ</w:t>
      </w:r>
      <w:r w:rsidRPr="00697AFA">
        <w:rPr>
          <w:rFonts w:cstheme="minorHAnsi"/>
          <w:b/>
          <w:sz w:val="20"/>
          <w:szCs w:val="16"/>
          <w:lang w:val="en-GB"/>
        </w:rPr>
        <w:t xml:space="preserve"> </w:t>
      </w:r>
      <w:r w:rsidR="007A2296">
        <w:rPr>
          <w:rFonts w:cstheme="minorHAnsi"/>
          <w:b/>
          <w:sz w:val="20"/>
          <w:szCs w:val="16"/>
          <w:lang w:val="en-GB"/>
        </w:rPr>
        <w:t>VE</w:t>
      </w:r>
      <w:r w:rsidRPr="00697AFA">
        <w:rPr>
          <w:rFonts w:cstheme="minorHAnsi"/>
          <w:b/>
          <w:sz w:val="20"/>
          <w:szCs w:val="16"/>
          <w:lang w:val="en-GB"/>
        </w:rPr>
        <w:t xml:space="preserve"> </w:t>
      </w:r>
      <w:r w:rsidR="008D1DCF" w:rsidRPr="00697AFA">
        <w:rPr>
          <w:rFonts w:cstheme="minorHAnsi"/>
          <w:b/>
          <w:sz w:val="20"/>
          <w:szCs w:val="16"/>
          <w:lang w:val="en-GB"/>
        </w:rPr>
        <w:t>YÖNTEM</w:t>
      </w:r>
    </w:p>
    <w:p w14:paraId="354DB188" w14:textId="4D98A245" w:rsidR="00895475" w:rsidRPr="00697AFA" w:rsidRDefault="004E7301" w:rsidP="00697AFA">
      <w:pPr>
        <w:pStyle w:val="NoSpacing"/>
        <w:spacing w:before="120" w:after="120"/>
        <w:jc w:val="both"/>
        <w:rPr>
          <w:rFonts w:cstheme="minorHAnsi"/>
          <w:sz w:val="16"/>
          <w:szCs w:val="16"/>
        </w:rPr>
      </w:pPr>
      <w:proofErr w:type="spellStart"/>
      <w:r w:rsidRPr="008645C1">
        <w:rPr>
          <w:rFonts w:cstheme="minorHAnsi"/>
          <w:sz w:val="16"/>
          <w:szCs w:val="16"/>
          <w:lang w:val="en-US"/>
        </w:rPr>
        <w:t>Analizde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i</w:t>
      </w:r>
      <w:r w:rsidR="00266004" w:rsidRPr="008645C1">
        <w:rPr>
          <w:rFonts w:cstheme="minorHAnsi"/>
          <w:sz w:val="16"/>
          <w:szCs w:val="16"/>
          <w:lang w:val="en-US"/>
        </w:rPr>
        <w:t>ki</w:t>
      </w:r>
      <w:r w:rsidR="00264AB5" w:rsidRPr="008645C1">
        <w:rPr>
          <w:rFonts w:cstheme="minorHAnsi"/>
          <w:sz w:val="16"/>
          <w:szCs w:val="16"/>
          <w:lang w:val="en-US"/>
        </w:rPr>
        <w:t>nci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4AB5" w:rsidRPr="008645C1">
        <w:rPr>
          <w:rFonts w:cstheme="minorHAnsi"/>
          <w:sz w:val="16"/>
          <w:szCs w:val="16"/>
          <w:lang w:val="en-US"/>
        </w:rPr>
        <w:t>dereceden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4AB5" w:rsidRPr="008645C1">
        <w:rPr>
          <w:rFonts w:cstheme="minorHAnsi"/>
          <w:sz w:val="16"/>
          <w:szCs w:val="16"/>
          <w:lang w:val="en-US"/>
        </w:rPr>
        <w:t>stokastik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4AB5" w:rsidRPr="008645C1">
        <w:rPr>
          <w:rFonts w:cstheme="minorHAnsi"/>
          <w:sz w:val="16"/>
          <w:szCs w:val="16"/>
          <w:lang w:val="en-US"/>
        </w:rPr>
        <w:t>baskınlık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4AB5" w:rsidRPr="008645C1">
        <w:rPr>
          <w:rFonts w:cstheme="minorHAnsi"/>
          <w:sz w:val="16"/>
          <w:szCs w:val="16"/>
          <w:lang w:val="en-US"/>
        </w:rPr>
        <w:t>kriteri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4AB5" w:rsidRPr="008645C1">
        <w:rPr>
          <w:rFonts w:cstheme="minorHAnsi"/>
          <w:sz w:val="16"/>
          <w:szCs w:val="16"/>
          <w:lang w:val="en-US"/>
        </w:rPr>
        <w:t>ile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4AB5" w:rsidRPr="008645C1">
        <w:rPr>
          <w:rFonts w:cstheme="minorHAnsi"/>
          <w:sz w:val="16"/>
          <w:szCs w:val="16"/>
          <w:lang w:val="en-US"/>
        </w:rPr>
        <w:t>kriptopara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4AB5" w:rsidRPr="008645C1">
        <w:rPr>
          <w:rFonts w:cstheme="minorHAnsi"/>
          <w:sz w:val="16"/>
          <w:szCs w:val="16"/>
          <w:lang w:val="en-US"/>
        </w:rPr>
        <w:t>getirilerinin</w:t>
      </w:r>
      <w:proofErr w:type="spellEnd"/>
      <w:r w:rsidR="00264AB5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015714" w:rsidRPr="008645C1">
        <w:rPr>
          <w:rFonts w:cstheme="minorHAnsi"/>
          <w:sz w:val="16"/>
          <w:szCs w:val="16"/>
          <w:lang w:val="en-US"/>
        </w:rPr>
        <w:t>birbirlerine</w:t>
      </w:r>
      <w:proofErr w:type="spellEnd"/>
      <w:r w:rsidR="00015714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015714" w:rsidRPr="008645C1">
        <w:rPr>
          <w:rFonts w:cstheme="minorHAnsi"/>
          <w:sz w:val="16"/>
          <w:szCs w:val="16"/>
          <w:lang w:val="en-US"/>
        </w:rPr>
        <w:t>göre</w:t>
      </w:r>
      <w:proofErr w:type="spellEnd"/>
      <w:r w:rsidR="00015714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6004" w:rsidRPr="008645C1">
        <w:rPr>
          <w:rFonts w:cstheme="minorHAnsi"/>
          <w:sz w:val="16"/>
          <w:szCs w:val="16"/>
          <w:lang w:val="en-US"/>
        </w:rPr>
        <w:t>etkinlik</w:t>
      </w:r>
      <w:r w:rsidR="00015714" w:rsidRPr="008645C1">
        <w:rPr>
          <w:rFonts w:cstheme="minorHAnsi"/>
          <w:sz w:val="16"/>
          <w:szCs w:val="16"/>
          <w:lang w:val="en-US"/>
        </w:rPr>
        <w:t>leri</w:t>
      </w:r>
      <w:proofErr w:type="spellEnd"/>
      <w:r w:rsidR="00015714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015714" w:rsidRPr="008645C1">
        <w:rPr>
          <w:rFonts w:cstheme="minorHAnsi"/>
          <w:sz w:val="16"/>
          <w:szCs w:val="16"/>
          <w:lang w:val="en-US"/>
        </w:rPr>
        <w:t>ikişerli</w:t>
      </w:r>
      <w:proofErr w:type="spellEnd"/>
      <w:r w:rsidR="00266004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266004" w:rsidRPr="008645C1">
        <w:rPr>
          <w:rFonts w:cstheme="minorHAnsi"/>
          <w:sz w:val="16"/>
          <w:szCs w:val="16"/>
          <w:lang w:val="en-US"/>
        </w:rPr>
        <w:t>karşılaştırmalar</w:t>
      </w:r>
      <w:r w:rsidR="00015714" w:rsidRPr="008645C1">
        <w:rPr>
          <w:rFonts w:cstheme="minorHAnsi"/>
          <w:sz w:val="16"/>
          <w:szCs w:val="16"/>
          <w:lang w:val="en-US"/>
        </w:rPr>
        <w:t>la</w:t>
      </w:r>
      <w:proofErr w:type="spellEnd"/>
      <w:r w:rsidR="00015714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015714" w:rsidRPr="008645C1">
        <w:rPr>
          <w:rFonts w:cstheme="minorHAnsi"/>
          <w:sz w:val="16"/>
          <w:szCs w:val="16"/>
          <w:lang w:val="en-US"/>
        </w:rPr>
        <w:t>incelenmiştir</w:t>
      </w:r>
      <w:proofErr w:type="spellEnd"/>
      <w:r w:rsidR="00015714" w:rsidRPr="008645C1">
        <w:rPr>
          <w:rFonts w:cstheme="minorHAnsi"/>
          <w:sz w:val="16"/>
          <w:szCs w:val="16"/>
          <w:lang w:val="en-US"/>
        </w:rPr>
        <w:t>.</w:t>
      </w:r>
      <w:r w:rsidRPr="008645C1">
        <w:rPr>
          <w:rFonts w:cstheme="minorHAnsi"/>
          <w:sz w:val="16"/>
          <w:szCs w:val="16"/>
        </w:rPr>
        <w:t xml:space="preserve"> </w:t>
      </w:r>
      <w:r w:rsidR="004F1207" w:rsidRPr="008645C1">
        <w:rPr>
          <w:rFonts w:cstheme="minorHAnsi"/>
          <w:sz w:val="16"/>
          <w:szCs w:val="16"/>
          <w:lang w:val="en-US"/>
        </w:rPr>
        <w:t xml:space="preserve">01.03.2019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ile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31.10.2020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tarihleri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arasında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>,</w:t>
      </w:r>
      <w:r w:rsidR="00B424C8" w:rsidRPr="008645C1">
        <w:rPr>
          <w:rFonts w:cstheme="minorHAnsi"/>
          <w:sz w:val="16"/>
          <w:szCs w:val="16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En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yüksek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piyasa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değerine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sahip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ilk 10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kriptopara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biriminin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ABD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doları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cinsinden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değerler</w:t>
      </w:r>
      <w:proofErr w:type="spellEnd"/>
      <w:r w:rsidR="00B424C8" w:rsidRPr="008645C1">
        <w:rPr>
          <w:rFonts w:cstheme="minorHAnsi"/>
          <w:sz w:val="16"/>
          <w:szCs w:val="16"/>
        </w:rPr>
        <w:t xml:space="preserve">, </w:t>
      </w:r>
      <w:r w:rsidR="004F1207" w:rsidRPr="008645C1">
        <w:rPr>
          <w:rFonts w:cstheme="minorHAnsi"/>
          <w:sz w:val="16"/>
          <w:szCs w:val="16"/>
          <w:lang w:val="en-US"/>
        </w:rPr>
        <w:t>Bitcoin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btc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),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Etherium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(eth), Tether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usdt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>), XRP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xrp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), Bitcoin Cash (bch),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Chainlink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(link),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Binance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Coin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bnb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),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Litecoin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ltc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>),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Polkadot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>), USD Coin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usdc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), 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Cordano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 xml:space="preserve"> (</w:t>
      </w:r>
      <w:proofErr w:type="spellStart"/>
      <w:r w:rsidR="004F1207" w:rsidRPr="008645C1">
        <w:rPr>
          <w:rFonts w:cstheme="minorHAnsi"/>
          <w:sz w:val="16"/>
          <w:szCs w:val="16"/>
          <w:lang w:val="en-US"/>
        </w:rPr>
        <w:t>ada</w:t>
      </w:r>
      <w:proofErr w:type="spellEnd"/>
      <w:r w:rsidR="004F1207" w:rsidRPr="008645C1">
        <w:rPr>
          <w:rFonts w:cstheme="minorHAnsi"/>
          <w:sz w:val="16"/>
          <w:szCs w:val="16"/>
          <w:lang w:val="en-US"/>
        </w:rPr>
        <w:t>).</w:t>
      </w:r>
      <w:r w:rsidR="00B424C8" w:rsidRPr="008645C1">
        <w:rPr>
          <w:rFonts w:cstheme="minorHAnsi"/>
          <w:sz w:val="16"/>
          <w:szCs w:val="16"/>
        </w:rPr>
        <w:t xml:space="preserve"> </w:t>
      </w:r>
      <w:hyperlink r:id="rId9" w:history="1">
        <w:r w:rsidR="00B424C8" w:rsidRPr="008645C1">
          <w:rPr>
            <w:rStyle w:val="Hyperlink"/>
            <w:rFonts w:cstheme="minorHAnsi"/>
            <w:sz w:val="16"/>
            <w:szCs w:val="16"/>
            <w:lang w:val="en-US"/>
          </w:rPr>
          <w:t>https://coinmarketcap.com/</w:t>
        </w:r>
      </w:hyperlink>
      <w:r w:rsidR="004F1207" w:rsidRPr="008645C1">
        <w:rPr>
          <w:rFonts w:cstheme="minorHAnsi"/>
          <w:sz w:val="16"/>
          <w:szCs w:val="16"/>
          <w:lang w:val="en-US"/>
        </w:rPr>
        <w:t xml:space="preserve"> (02.11.2020)</w:t>
      </w:r>
    </w:p>
    <w:p w14:paraId="2F62F044" w14:textId="757274F0" w:rsidR="00FF1BA5" w:rsidRDefault="00732A30" w:rsidP="009D5F12">
      <w:pPr>
        <w:spacing w:after="0"/>
        <w:rPr>
          <w:rFonts w:cstheme="minorHAnsi"/>
          <w:b/>
          <w:sz w:val="16"/>
          <w:szCs w:val="16"/>
        </w:rPr>
      </w:pPr>
      <w:r w:rsidRPr="008645C1">
        <w:rPr>
          <w:rFonts w:cstheme="minorHAnsi"/>
          <w:b/>
          <w:sz w:val="16"/>
          <w:szCs w:val="16"/>
          <w:lang w:val="en-GB"/>
        </w:rPr>
        <w:t>Ta</w:t>
      </w:r>
      <w:r w:rsidR="008544EE" w:rsidRPr="008645C1">
        <w:rPr>
          <w:rFonts w:cstheme="minorHAnsi"/>
          <w:b/>
          <w:sz w:val="16"/>
          <w:szCs w:val="16"/>
          <w:lang w:val="en-GB"/>
        </w:rPr>
        <w:t>ble 1</w:t>
      </w:r>
      <w:r w:rsidR="009B3A08" w:rsidRPr="008645C1">
        <w:rPr>
          <w:rFonts w:cstheme="minorHAnsi"/>
          <w:b/>
          <w:sz w:val="16"/>
          <w:szCs w:val="16"/>
          <w:lang w:val="en-GB"/>
        </w:rPr>
        <w:t>:</w:t>
      </w:r>
      <w:r w:rsidR="008544EE" w:rsidRPr="008645C1">
        <w:rPr>
          <w:rFonts w:cstheme="minorHAnsi"/>
          <w:b/>
          <w:sz w:val="16"/>
          <w:szCs w:val="16"/>
          <w:lang w:val="en-GB"/>
        </w:rPr>
        <w:t xml:space="preserve"> </w:t>
      </w:r>
      <w:proofErr w:type="spellStart"/>
      <w:r w:rsidR="00FF1BA5" w:rsidRPr="008645C1">
        <w:rPr>
          <w:rFonts w:cstheme="minorHAnsi"/>
          <w:b/>
          <w:sz w:val="16"/>
          <w:szCs w:val="16"/>
        </w:rPr>
        <w:t>Kriptopara</w:t>
      </w:r>
      <w:proofErr w:type="spellEnd"/>
      <w:r w:rsidR="00FF1BA5" w:rsidRPr="008645C1">
        <w:rPr>
          <w:rFonts w:cstheme="minorHAnsi"/>
          <w:b/>
          <w:sz w:val="16"/>
          <w:szCs w:val="16"/>
        </w:rPr>
        <w:t xml:space="preserve"> </w:t>
      </w:r>
      <w:r w:rsidR="00697AFA">
        <w:rPr>
          <w:rFonts w:cstheme="minorHAnsi"/>
          <w:b/>
          <w:sz w:val="16"/>
          <w:szCs w:val="16"/>
        </w:rPr>
        <w:t>Getirilerine İlişkin Tanımsal İ</w:t>
      </w:r>
      <w:r w:rsidR="00FF1BA5" w:rsidRPr="008645C1">
        <w:rPr>
          <w:rFonts w:cstheme="minorHAnsi"/>
          <w:b/>
          <w:sz w:val="16"/>
          <w:szCs w:val="16"/>
        </w:rPr>
        <w:t>statistikler</w:t>
      </w:r>
    </w:p>
    <w:p w14:paraId="42FD1DB6" w14:textId="77777777" w:rsidR="00697AFA" w:rsidRPr="00697AFA" w:rsidRDefault="00697AFA" w:rsidP="009D5F12">
      <w:pPr>
        <w:spacing w:after="0"/>
        <w:rPr>
          <w:rFonts w:cstheme="minorHAnsi"/>
          <w:sz w:val="6"/>
          <w:szCs w:val="16"/>
          <w:lang w:val="en-GB"/>
        </w:rPr>
      </w:pPr>
    </w:p>
    <w:tbl>
      <w:tblPr>
        <w:tblStyle w:val="TableGrid"/>
        <w:tblW w:w="445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63"/>
        <w:gridCol w:w="666"/>
        <w:gridCol w:w="662"/>
        <w:gridCol w:w="667"/>
        <w:gridCol w:w="662"/>
        <w:gridCol w:w="662"/>
        <w:gridCol w:w="669"/>
        <w:gridCol w:w="662"/>
        <w:gridCol w:w="664"/>
        <w:gridCol w:w="648"/>
      </w:tblGrid>
      <w:tr w:rsidR="00D338ED" w:rsidRPr="008645C1" w14:paraId="721912D6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886" w14:textId="77777777" w:rsidR="00D338ED" w:rsidRPr="008645C1" w:rsidRDefault="00D338ED" w:rsidP="00D338ED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1BA9" w14:textId="2C3953AE" w:rsidR="00D338ED" w:rsidRPr="008645C1" w:rsidRDefault="00D338ED" w:rsidP="00697AFA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btc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AF7F7" w14:textId="37BE277D" w:rsidR="00D338ED" w:rsidRPr="008645C1" w:rsidRDefault="00D338ED" w:rsidP="00697AFA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eth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CC4A6" w14:textId="6720F945" w:rsidR="00D338ED" w:rsidRPr="008645C1" w:rsidRDefault="00D338ED" w:rsidP="00697AFA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usdt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8E58" w14:textId="0125E564" w:rsidR="00D338ED" w:rsidRPr="008645C1" w:rsidRDefault="00D338ED" w:rsidP="00697AFA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xrp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C8C5E" w14:textId="494E6FCE" w:rsidR="00D338ED" w:rsidRPr="008645C1" w:rsidRDefault="00D338ED" w:rsidP="00697AFA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bch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2B4D1" w14:textId="4082FABE" w:rsidR="00D338ED" w:rsidRPr="008645C1" w:rsidRDefault="00D338ED" w:rsidP="00697AFA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link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F545" w14:textId="779A686C" w:rsidR="00D338ED" w:rsidRPr="008645C1" w:rsidRDefault="00D338ED" w:rsidP="00697AFA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bnb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720C" w14:textId="4A5342D0" w:rsidR="00D338ED" w:rsidRPr="008645C1" w:rsidRDefault="00D338ED" w:rsidP="00697AFA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ltc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7DF5" w14:textId="123BF7C0" w:rsidR="00D338ED" w:rsidRPr="008645C1" w:rsidRDefault="00D338ED" w:rsidP="00697AFA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usdc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AB66" w14:textId="0263D189" w:rsidR="00D338ED" w:rsidRPr="008645C1" w:rsidRDefault="00D338ED" w:rsidP="00697AFA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ada</w:t>
            </w:r>
            <w:proofErr w:type="gramEnd"/>
          </w:p>
        </w:tc>
      </w:tr>
      <w:tr w:rsidR="007148FD" w:rsidRPr="008645C1" w14:paraId="196CA2AC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115" w14:textId="77777777" w:rsidR="007148FD" w:rsidRPr="008645C1" w:rsidRDefault="007148FD" w:rsidP="007148FD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sz w:val="16"/>
                <w:szCs w:val="16"/>
              </w:rPr>
              <w:t>Minimum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AE6B" w14:textId="600E08A4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-0.45559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05E7" w14:textId="156E6215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-0.54702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4535" w14:textId="46B585B0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-0.03922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5041" w14:textId="3CD68468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-0.39314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C7F37" w14:textId="0CA270F6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-0.56125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3BD7" w14:textId="4ED4456A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-0.61754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AF0EB" w14:textId="4077C841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-0.55178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70A23" w14:textId="4E4A29CC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-0.44655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AD6A" w14:textId="0E325C31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-0.02956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4444" w14:textId="3D07788D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-0.50337</w:t>
            </w:r>
          </w:p>
        </w:tc>
      </w:tr>
      <w:tr w:rsidR="007148FD" w:rsidRPr="008645C1" w14:paraId="7B0243C8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C46" w14:textId="0F04398B" w:rsidR="007148FD" w:rsidRPr="008645C1" w:rsidRDefault="007148FD" w:rsidP="007148FD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sz w:val="16"/>
                <w:szCs w:val="16"/>
              </w:rPr>
              <w:t>Maksimum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5E7AF" w14:textId="62A88E44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0.16585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00F7" w14:textId="7766A6C2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0.17388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024F" w14:textId="38185B6F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0.04024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B5C9" w14:textId="19788E03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0.22875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DA062" w14:textId="40ECD704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0.34377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2AB5F" w14:textId="59018AB2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0.48416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5EFA" w14:textId="2B32AB21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0.19346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6098" w14:textId="51DBCA02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0.22821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CFD7" w14:textId="77E19154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0.03178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AA90" w14:textId="23914538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0.18354</w:t>
            </w:r>
          </w:p>
        </w:tc>
      </w:tr>
      <w:tr w:rsidR="007148FD" w:rsidRPr="008645C1" w14:paraId="06002686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809" w14:textId="0D8B79AB" w:rsidR="007148FD" w:rsidRPr="008645C1" w:rsidRDefault="007148FD" w:rsidP="007148FD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sz w:val="16"/>
                <w:szCs w:val="16"/>
              </w:rPr>
              <w:t>Medyan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565CC" w14:textId="17193902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0.00160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033F" w14:textId="3DACB607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0.00104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610C" w14:textId="25CFFC24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C744E" w14:textId="3708C380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-0.00043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6CE2C" w14:textId="6640D7D8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-0.00032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9058" w14:textId="60A56B35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0.00172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EF4D" w14:textId="450EC61E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0.00116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1EEB" w14:textId="62D33C05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-0.00077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27F6" w14:textId="5CB284D3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0,00000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02ECC" w14:textId="479E79E7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0,00239</w:t>
            </w:r>
          </w:p>
        </w:tc>
      </w:tr>
      <w:tr w:rsidR="007148FD" w:rsidRPr="008645C1" w14:paraId="2CF577DA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10F" w14:textId="5D3731AD" w:rsidR="007148FD" w:rsidRPr="008645C1" w:rsidRDefault="007148FD" w:rsidP="007148FD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sz w:val="16"/>
                <w:szCs w:val="16"/>
              </w:rPr>
              <w:t>Ortalama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D6FE" w14:textId="25B7784C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0.00206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BD9B7" w14:textId="0A8ECC3C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0.00168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CD03" w14:textId="233DDE5C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-0.00001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1CAC" w14:textId="17882A9E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-0.00045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4A823" w14:textId="5DD7B5E8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0.00112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B2A7" w14:textId="376A5C33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0.00534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46F8F" w14:textId="065FDEFB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0.00166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FD2E8" w14:textId="26F9FD7B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0.00025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7190B" w14:textId="5F7E174C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-0.00002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2FC49" w14:textId="0350A09F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0.00126</w:t>
            </w:r>
          </w:p>
        </w:tc>
      </w:tr>
      <w:tr w:rsidR="007148FD" w:rsidRPr="008645C1" w14:paraId="3A159795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F49" w14:textId="77777777" w:rsidR="007148FD" w:rsidRPr="008645C1" w:rsidRDefault="007148FD" w:rsidP="007148FD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sz w:val="16"/>
                <w:szCs w:val="16"/>
              </w:rPr>
              <w:t>Standart Sapma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2C3D" w14:textId="472E975A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0.03878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3D609" w14:textId="61713C40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0.04741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71CA" w14:textId="50214AF3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0.00592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E1C0" w14:textId="2845351B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0.03946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4B5C" w14:textId="021304B6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0.05473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BCC2E" w14:textId="2EA85A90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0.06759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8975" w14:textId="0BA712BF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0.04819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5B89D" w14:textId="2386D7FF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0.04778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74B8" w14:textId="0719045E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0.00541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BC45" w14:textId="65C93C80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0.05267</w:t>
            </w:r>
          </w:p>
        </w:tc>
      </w:tr>
      <w:tr w:rsidR="007148FD" w:rsidRPr="008645C1" w14:paraId="38203D5E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3FC" w14:textId="39EDDFAE" w:rsidR="007148FD" w:rsidRPr="008645C1" w:rsidRDefault="007148FD" w:rsidP="007148FD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sz w:val="16"/>
                <w:szCs w:val="16"/>
              </w:rPr>
              <w:t>VaR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07FA" w14:textId="7794DB23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0.10351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DE36" w14:textId="52041F9A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0.14259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BDFF" w14:textId="033D4A30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0.01309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6FAB" w14:textId="681978A0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0.11527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D9D8" w14:textId="03F9AC30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0.15828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7148C" w14:textId="1C4F50CE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0.16339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D8C8" w14:textId="29DBBE7D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0.12842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41C5" w14:textId="6E27781B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0.13689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2344" w14:textId="7B379493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0.01258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34CD" w14:textId="593134B2" w:rsidR="007148FD" w:rsidRPr="008645C1" w:rsidRDefault="007148FD" w:rsidP="00697AFA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b/>
                <w:bCs/>
                <w:color w:val="000000"/>
                <w:kern w:val="24"/>
                <w:sz w:val="16"/>
                <w:szCs w:val="16"/>
              </w:rPr>
              <w:t>0.12923</w:t>
            </w:r>
          </w:p>
        </w:tc>
      </w:tr>
      <w:tr w:rsidR="007148FD" w:rsidRPr="008645C1" w14:paraId="6599B70F" w14:textId="77777777" w:rsidTr="008645C1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005" w14:textId="0CEB4E74" w:rsidR="007148FD" w:rsidRPr="008645C1" w:rsidRDefault="007148FD" w:rsidP="007148FD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sz w:val="16"/>
                <w:szCs w:val="16"/>
              </w:rPr>
              <w:t>CVaR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2217C" w14:textId="4FBF87A6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0.17353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B5A95" w14:textId="01C3D63B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0.21722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B302" w14:textId="50FE50A0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0.02113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4C5C" w14:textId="4767F6FF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0.16643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5058" w14:textId="7A7B828E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0.25167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3219A" w14:textId="6F4C6D55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0.25055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CDE7E" w14:textId="620B3782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0.21689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087E7" w14:textId="635D6A24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0.20488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73C6" w14:textId="11BDC0D8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0.01929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3803" w14:textId="379BE92C" w:rsidR="007148FD" w:rsidRPr="008645C1" w:rsidRDefault="007148FD" w:rsidP="00697AFA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/>
                <w:kern w:val="24"/>
                <w:sz w:val="16"/>
                <w:szCs w:val="16"/>
              </w:rPr>
              <w:t>0.20692</w:t>
            </w:r>
          </w:p>
        </w:tc>
      </w:tr>
    </w:tbl>
    <w:p w14:paraId="65A21F87" w14:textId="2E66C0A2" w:rsidR="00540794" w:rsidRPr="008645C1" w:rsidRDefault="00266004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  <w:lang w:val="en-GB"/>
        </w:rPr>
      </w:pPr>
      <w:proofErr w:type="spellStart"/>
      <w:r w:rsidRPr="008645C1">
        <w:rPr>
          <w:rFonts w:cstheme="minorHAnsi"/>
          <w:sz w:val="16"/>
          <w:szCs w:val="16"/>
          <w:lang w:val="en-GB"/>
        </w:rPr>
        <w:t>Stokastik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baskınlık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rastlantı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değişkeninin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dağılımından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bağımsız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olma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özelliği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taşıyan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aslında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dağılımı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oluşturan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değerlerin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tamamını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dikkate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alan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ölçüttür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(</w:t>
      </w:r>
      <w:proofErr w:type="spellStart"/>
      <w:r w:rsidRPr="008645C1">
        <w:rPr>
          <w:rFonts w:cstheme="minorHAnsi"/>
          <w:sz w:val="16"/>
          <w:szCs w:val="16"/>
          <w:lang w:val="en-GB"/>
        </w:rPr>
        <w:t>Hanoch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Levy, 1969). </w:t>
      </w:r>
      <w:proofErr w:type="spellStart"/>
      <w:r w:rsidRPr="008645C1">
        <w:rPr>
          <w:rFonts w:cstheme="minorHAnsi"/>
          <w:sz w:val="16"/>
          <w:szCs w:val="16"/>
          <w:lang w:val="en-GB"/>
        </w:rPr>
        <w:t>İstatistik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olarak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Stokastik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Baskınlık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,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tercih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edilen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beklentinin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birikimli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dağılım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değerinin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hiçbir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zaman </w:t>
      </w:r>
      <w:proofErr w:type="spellStart"/>
      <w:r w:rsidRPr="008645C1">
        <w:rPr>
          <w:rFonts w:cstheme="minorHAnsi"/>
          <w:sz w:val="16"/>
          <w:szCs w:val="16"/>
          <w:lang w:val="en-GB"/>
        </w:rPr>
        <w:t>ikinci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tercih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olanın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birikimli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dağılımını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aşmaması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durumudur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bu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tanım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kısaca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FSD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tanımı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olarak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verilmektedir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(</w:t>
      </w:r>
      <w:proofErr w:type="spellStart"/>
      <w:r w:rsidRPr="008645C1">
        <w:rPr>
          <w:rFonts w:cstheme="minorHAnsi"/>
          <w:sz w:val="16"/>
          <w:szCs w:val="16"/>
          <w:lang w:val="en-GB"/>
        </w:rPr>
        <w:t>Hadar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Russell, 1969).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x </w:t>
      </w:r>
      <w:proofErr w:type="spellStart"/>
      <w:r w:rsidRPr="008645C1">
        <w:rPr>
          <w:rFonts w:cstheme="minorHAnsi"/>
          <w:sz w:val="16"/>
          <w:szCs w:val="16"/>
          <w:lang w:val="en-GB"/>
        </w:rPr>
        <w:t>raslantı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değişkeninin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tüm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gerçel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değerleri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(x</w:t>
      </w:r>
      <w:r w:rsidRPr="008645C1">
        <w:rPr>
          <w:rFonts w:ascii="Cambria Math" w:hAnsi="Cambria Math" w:cs="Cambria Math"/>
          <w:sz w:val="16"/>
          <w:szCs w:val="16"/>
          <w:lang w:val="en-GB"/>
        </w:rPr>
        <w:t>∈</w:t>
      </w:r>
      <w:r w:rsidRPr="008645C1">
        <w:rPr>
          <w:rFonts w:cstheme="minorHAnsi"/>
          <w:sz w:val="16"/>
          <w:szCs w:val="16"/>
          <w:lang w:val="en-GB"/>
        </w:rPr>
        <w:t xml:space="preserve"> R) </w:t>
      </w:r>
      <w:proofErr w:type="spellStart"/>
      <w:r w:rsidRPr="008645C1">
        <w:rPr>
          <w:rFonts w:cstheme="minorHAnsi"/>
          <w:sz w:val="16"/>
          <w:szCs w:val="16"/>
          <w:lang w:val="en-GB"/>
        </w:rPr>
        <w:t>için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f(x) </w:t>
      </w:r>
      <w:proofErr w:type="spellStart"/>
      <w:r w:rsidRPr="008645C1">
        <w:rPr>
          <w:rFonts w:cstheme="minorHAnsi"/>
          <w:sz w:val="16"/>
          <w:szCs w:val="16"/>
          <w:lang w:val="en-GB"/>
        </w:rPr>
        <w:t>olasılık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fonksiyonunu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</w:p>
    <w:p w14:paraId="2F6E6BAE" w14:textId="3A25CB3A" w:rsidR="00540794" w:rsidRPr="008645C1" w:rsidRDefault="00540794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  <w:lang w:val="en-GB"/>
        </w:rPr>
      </w:pPr>
      <m:oMathPara>
        <m:oMath>
          <m:r>
            <w:rPr>
              <w:rFonts w:ascii="Cambria Math" w:hAnsi="Cambria Math" w:cstheme="minorHAnsi"/>
              <w:sz w:val="16"/>
              <w:szCs w:val="16"/>
              <w:lang w:val="en-GB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16"/>
                  <w:szCs w:val="16"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sz w:val="16"/>
                  <w:szCs w:val="16"/>
                  <w:lang w:val="en-GB"/>
                </w:rPr>
                <m:t>x</m:t>
              </m:r>
            </m:e>
          </m:d>
          <m:r>
            <w:rPr>
              <w:rFonts w:ascii="Cambria Math" w:hAnsi="Cambria Math" w:cstheme="minorHAnsi"/>
              <w:sz w:val="16"/>
              <w:szCs w:val="16"/>
              <w:lang w:val="en-GB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inorHAnsi"/>
                  <w:i/>
                  <w:sz w:val="16"/>
                  <w:szCs w:val="16"/>
                  <w:lang w:val="en-GB"/>
                </w:rPr>
              </m:ctrlPr>
            </m:naryPr>
            <m:sub>
              <m:r>
                <w:rPr>
                  <w:rFonts w:ascii="Cambria Math" w:hAnsi="Cambria Math" w:cstheme="minorHAnsi"/>
                  <w:sz w:val="16"/>
                  <w:szCs w:val="16"/>
                  <w:lang w:val="en-GB"/>
                </w:rPr>
                <m:t>-∞</m:t>
              </m:r>
            </m:sub>
            <m:sup>
              <m:r>
                <w:rPr>
                  <w:rFonts w:ascii="Cambria Math" w:hAnsi="Cambria Math" w:cstheme="minorHAnsi"/>
                  <w:sz w:val="16"/>
                  <w:szCs w:val="16"/>
                  <w:lang w:val="en-GB"/>
                </w:rPr>
                <m:t>x</m:t>
              </m:r>
            </m:sup>
            <m:e>
              <m:r>
                <w:rPr>
                  <w:rFonts w:ascii="Cambria Math" w:hAnsi="Cambria Math" w:cstheme="minorHAnsi"/>
                  <w:sz w:val="16"/>
                  <w:szCs w:val="16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16"/>
                      <w:szCs w:val="16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16"/>
                      <w:szCs w:val="16"/>
                      <w:lang w:val="en-GB"/>
                    </w:rPr>
                    <m:t>t</m:t>
                  </m:r>
                </m:e>
              </m:d>
              <m:r>
                <w:rPr>
                  <w:rFonts w:ascii="Cambria Math" w:hAnsi="Cambria Math" w:cstheme="minorHAnsi"/>
                  <w:sz w:val="16"/>
                  <w:szCs w:val="16"/>
                  <w:lang w:val="en-GB"/>
                </w:rPr>
                <m:t>dt</m:t>
              </m:r>
            </m:e>
          </m:nary>
        </m:oMath>
      </m:oMathPara>
    </w:p>
    <w:p w14:paraId="274D92FC" w14:textId="660CA1FD" w:rsidR="00E12EE5" w:rsidRPr="008645C1" w:rsidRDefault="00266004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8645C1">
        <w:rPr>
          <w:rFonts w:cstheme="minorHAnsi"/>
          <w:sz w:val="16"/>
          <w:szCs w:val="16"/>
          <w:lang w:val="en-GB"/>
        </w:rPr>
        <w:t>olarak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verilen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kümülatif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dağılımı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dikkate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alalım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. f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g </w:t>
      </w:r>
      <w:proofErr w:type="spellStart"/>
      <w:r w:rsidRPr="008645C1">
        <w:rPr>
          <w:rFonts w:cstheme="minorHAnsi"/>
          <w:sz w:val="16"/>
          <w:szCs w:val="16"/>
          <w:lang w:val="en-GB"/>
        </w:rPr>
        <w:t>gibi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herhangi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iki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olasılık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dağılımları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tüm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x</w:t>
      </w:r>
      <w:r w:rsidRPr="008645C1">
        <w:rPr>
          <w:rFonts w:ascii="Cambria Math" w:hAnsi="Cambria Math" w:cs="Cambria Math"/>
          <w:sz w:val="16"/>
          <w:szCs w:val="16"/>
          <w:lang w:val="en-GB"/>
        </w:rPr>
        <w:t>∈</w:t>
      </w:r>
      <w:r w:rsidRPr="008645C1">
        <w:rPr>
          <w:rFonts w:cstheme="minorHAnsi"/>
          <w:sz w:val="16"/>
          <w:szCs w:val="16"/>
          <w:lang w:val="en-GB"/>
        </w:rPr>
        <w:t xml:space="preserve"> R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değerleri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için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m:oMath>
        <m:r>
          <w:rPr>
            <w:rFonts w:ascii="Cambria Math" w:hAnsi="Cambria Math" w:cstheme="minorHAnsi"/>
            <w:sz w:val="16"/>
            <w:szCs w:val="16"/>
            <w:lang w:val="en-GB"/>
          </w:rPr>
          <m:t>G(x)≥F(x)</m:t>
        </m:r>
      </m:oMath>
      <w:r w:rsidRPr="008645C1">
        <w:rPr>
          <w:rFonts w:cstheme="minorHAnsi"/>
          <w:sz w:val="16"/>
          <w:szCs w:val="16"/>
          <w:lang w:val="en-GB"/>
        </w:rPr>
        <w:t xml:space="preserve"> koşulunu sağlıyorlarsa </w:t>
      </w:r>
      <w:r w:rsidRPr="008645C1">
        <w:rPr>
          <w:rFonts w:cstheme="minorHAnsi"/>
          <w:b/>
          <w:sz w:val="16"/>
          <w:szCs w:val="16"/>
          <w:lang w:val="en-GB"/>
        </w:rPr>
        <w:t xml:space="preserve">“f </w:t>
      </w:r>
      <w:proofErr w:type="spellStart"/>
      <w:r w:rsidRPr="008645C1">
        <w:rPr>
          <w:rFonts w:cstheme="minorHAnsi"/>
          <w:b/>
          <w:sz w:val="16"/>
          <w:szCs w:val="16"/>
          <w:lang w:val="en-GB"/>
        </w:rPr>
        <w:t>g’ye</w:t>
      </w:r>
      <w:proofErr w:type="spellEnd"/>
      <w:r w:rsidRPr="008645C1">
        <w:rPr>
          <w:rFonts w:cstheme="minorHAnsi"/>
          <w:b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/>
          <w:sz w:val="16"/>
          <w:szCs w:val="16"/>
          <w:lang w:val="en-GB"/>
        </w:rPr>
        <w:t>birini</w:t>
      </w:r>
      <w:proofErr w:type="spellEnd"/>
      <w:r w:rsidRPr="008645C1">
        <w:rPr>
          <w:rFonts w:cstheme="minorHAnsi"/>
          <w:b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/>
          <w:sz w:val="16"/>
          <w:szCs w:val="16"/>
          <w:lang w:val="en-GB"/>
        </w:rPr>
        <w:t>derece</w:t>
      </w:r>
      <w:proofErr w:type="spellEnd"/>
      <w:r w:rsidRPr="008645C1">
        <w:rPr>
          <w:rFonts w:cstheme="minorHAnsi"/>
          <w:b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/>
          <w:sz w:val="16"/>
          <w:szCs w:val="16"/>
          <w:lang w:val="en-GB"/>
        </w:rPr>
        <w:t>stokastik</w:t>
      </w:r>
      <w:proofErr w:type="spellEnd"/>
      <w:r w:rsidRPr="008645C1">
        <w:rPr>
          <w:rFonts w:cstheme="minorHAnsi"/>
          <w:b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/>
          <w:sz w:val="16"/>
          <w:szCs w:val="16"/>
          <w:lang w:val="en-GB"/>
        </w:rPr>
        <w:t>baskındır</w:t>
      </w:r>
      <w:proofErr w:type="spellEnd"/>
      <w:r w:rsidRPr="008645C1">
        <w:rPr>
          <w:rFonts w:cstheme="minorHAnsi"/>
          <w:b/>
          <w:sz w:val="16"/>
          <w:szCs w:val="16"/>
          <w:lang w:val="en-GB"/>
        </w:rPr>
        <w:t>”</w:t>
      </w:r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denir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ve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m:oMath>
        <m:r>
          <w:rPr>
            <w:rFonts w:ascii="Cambria Math" w:hAnsi="Cambria Math" w:cstheme="minorHAnsi"/>
            <w:sz w:val="16"/>
            <w:szCs w:val="16"/>
            <w:lang w:val="en-GB"/>
          </w:rPr>
          <m:t>f</m:t>
        </m:r>
        <m:sSub>
          <m:sSubPr>
            <m:ctrlPr>
              <w:rPr>
                <w:rFonts w:ascii="Cambria Math" w:hAnsi="Cambria Math" w:cstheme="minorHAnsi"/>
                <w:i/>
                <w:sz w:val="16"/>
                <w:szCs w:val="16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sz w:val="16"/>
                <w:szCs w:val="16"/>
                <w:lang w:val="en-GB"/>
              </w:rPr>
              <m:t>≽</m:t>
            </m:r>
          </m:e>
          <m:sub>
            <m:r>
              <w:rPr>
                <w:rFonts w:ascii="Cambria Math" w:hAnsi="Cambria Math" w:cstheme="minorHAnsi"/>
                <w:sz w:val="16"/>
                <w:szCs w:val="16"/>
                <w:lang w:val="en-GB"/>
              </w:rPr>
              <m:t>1</m:t>
            </m:r>
          </m:sub>
        </m:sSub>
        <m:r>
          <w:rPr>
            <w:rFonts w:ascii="Cambria Math" w:hAnsi="Cambria Math" w:cstheme="minorHAnsi"/>
            <w:sz w:val="16"/>
            <w:szCs w:val="16"/>
            <w:lang w:val="en-GB"/>
          </w:rPr>
          <m:t>g</m:t>
        </m:r>
      </m:oMath>
      <w:r w:rsidR="00540794" w:rsidRPr="008645C1">
        <w:rPr>
          <w:rFonts w:eastAsiaTheme="minorEastAsia"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ile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gösterilir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. Bu </w:t>
      </w:r>
      <w:proofErr w:type="spellStart"/>
      <w:r w:rsidRPr="008645C1">
        <w:rPr>
          <w:rFonts w:cstheme="minorHAnsi"/>
          <w:sz w:val="16"/>
          <w:szCs w:val="16"/>
          <w:lang w:val="en-GB"/>
        </w:rPr>
        <w:t>tanıma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göre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, </w:t>
      </w:r>
      <w:proofErr w:type="spellStart"/>
      <w:r w:rsidRPr="008645C1">
        <w:rPr>
          <w:rFonts w:cstheme="minorHAnsi"/>
          <w:sz w:val="16"/>
          <w:szCs w:val="16"/>
          <w:lang w:val="en-GB"/>
        </w:rPr>
        <w:t>f’in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beklenen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faydası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g’nin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beklenen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faydasından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küçük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değilse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f </w:t>
      </w:r>
      <w:proofErr w:type="spellStart"/>
      <w:r w:rsidRPr="008645C1">
        <w:rPr>
          <w:rFonts w:cstheme="minorHAnsi"/>
          <w:sz w:val="16"/>
          <w:szCs w:val="16"/>
          <w:lang w:val="en-GB"/>
        </w:rPr>
        <w:t>g’ye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birinci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derece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stokastik</w:t>
      </w:r>
      <w:proofErr w:type="spellEnd"/>
      <w:r w:rsidRPr="008645C1">
        <w:rPr>
          <w:rFonts w:cstheme="minorHAnsi"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GB"/>
        </w:rPr>
        <w:t>baskındır</w:t>
      </w:r>
      <w:proofErr w:type="spellEnd"/>
      <w:r w:rsidRPr="008645C1">
        <w:rPr>
          <w:rFonts w:cstheme="minorHAnsi"/>
          <w:sz w:val="16"/>
          <w:szCs w:val="16"/>
          <w:lang w:val="en-GB"/>
        </w:rPr>
        <w:t>.</w:t>
      </w:r>
      <w:r w:rsidR="00955485" w:rsidRPr="008645C1">
        <w:rPr>
          <w:rFonts w:cstheme="minorHAnsi"/>
          <w:sz w:val="16"/>
          <w:szCs w:val="16"/>
          <w:lang w:val="en-GB"/>
        </w:rPr>
        <w:t xml:space="preserve"> </w:t>
      </w:r>
      <w:r w:rsidRPr="008645C1">
        <w:rPr>
          <w:rFonts w:cstheme="minorHAnsi"/>
          <w:sz w:val="16"/>
          <w:szCs w:val="16"/>
        </w:rPr>
        <w:t>Eğer tüm x</w:t>
      </w:r>
      <w:r w:rsidRPr="008645C1">
        <w:rPr>
          <w:rFonts w:ascii="Cambria Math" w:hAnsi="Cambria Math" w:cs="Cambria Math"/>
          <w:sz w:val="16"/>
          <w:szCs w:val="16"/>
        </w:rPr>
        <w:t>∈</w:t>
      </w:r>
      <w:r w:rsidRPr="008645C1">
        <w:rPr>
          <w:rFonts w:cstheme="minorHAnsi"/>
          <w:sz w:val="16"/>
          <w:szCs w:val="16"/>
        </w:rPr>
        <w:t xml:space="preserve"> R değerleri için</w:t>
      </w:r>
    </w:p>
    <w:p w14:paraId="301CB625" w14:textId="58846A67" w:rsidR="00783B62" w:rsidRPr="008645C1" w:rsidRDefault="00326309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theme="minorHAnsi"/>
                  <w:b/>
                  <w:bCs/>
                  <w:i/>
                  <w:sz w:val="16"/>
                  <w:szCs w:val="1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x</m:t>
              </m:r>
            </m:sup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dt</m:t>
              </m:r>
            </m:e>
          </m:nary>
          <m:r>
            <m:rPr>
              <m:sty m:val="bi"/>
            </m:rPr>
            <w:rPr>
              <w:rFonts w:ascii="Cambria Math" w:hAnsi="Cambria Math" w:cstheme="minorHAnsi"/>
              <w:sz w:val="16"/>
              <w:szCs w:val="16"/>
            </w:rPr>
            <m:t>≥</m:t>
          </m:r>
          <m:nary>
            <m:naryPr>
              <m:limLoc m:val="subSup"/>
              <m:ctrlPr>
                <w:rPr>
                  <w:rFonts w:ascii="Cambria Math" w:hAnsi="Cambria Math" w:cstheme="minorHAnsi"/>
                  <w:b/>
                  <w:bCs/>
                  <w:i/>
                  <w:sz w:val="16"/>
                  <w:szCs w:val="16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x</m:t>
              </m:r>
            </m:sup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6"/>
                      <w:szCs w:val="16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16"/>
                  <w:szCs w:val="16"/>
                </w:rPr>
                <m:t>dt</m:t>
              </m:r>
            </m:e>
          </m:nary>
        </m:oMath>
      </m:oMathPara>
    </w:p>
    <w:p w14:paraId="1BF649D9" w14:textId="2D6F9B1F" w:rsidR="00053BB0" w:rsidRPr="008645C1" w:rsidRDefault="00266004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</w:rPr>
      </w:pPr>
      <w:proofErr w:type="gramStart"/>
      <w:r w:rsidRPr="008645C1">
        <w:rPr>
          <w:rFonts w:cstheme="minorHAnsi"/>
          <w:sz w:val="16"/>
          <w:szCs w:val="16"/>
        </w:rPr>
        <w:t>koşulu</w:t>
      </w:r>
      <w:proofErr w:type="gramEnd"/>
      <w:r w:rsidRPr="008645C1">
        <w:rPr>
          <w:rFonts w:cstheme="minorHAnsi"/>
          <w:sz w:val="16"/>
          <w:szCs w:val="16"/>
        </w:rPr>
        <w:t xml:space="preserve"> sağlanıyorsa “</w:t>
      </w:r>
      <w:r w:rsidRPr="008645C1">
        <w:rPr>
          <w:rFonts w:cstheme="minorHAnsi"/>
          <w:b/>
          <w:bCs/>
          <w:sz w:val="16"/>
          <w:szCs w:val="16"/>
        </w:rPr>
        <w:t>f g</w:t>
      </w:r>
      <w:r w:rsidRPr="008645C1">
        <w:rPr>
          <w:rFonts w:cstheme="minorHAnsi"/>
          <w:b/>
          <w:bCs/>
          <w:i/>
          <w:iCs/>
          <w:sz w:val="16"/>
          <w:szCs w:val="16"/>
        </w:rPr>
        <w:t xml:space="preserve">’ye ikinci derece </w:t>
      </w:r>
      <w:proofErr w:type="spellStart"/>
      <w:r w:rsidRPr="008645C1">
        <w:rPr>
          <w:rFonts w:cstheme="minorHAnsi"/>
          <w:b/>
          <w:bCs/>
          <w:i/>
          <w:iCs/>
          <w:sz w:val="16"/>
          <w:szCs w:val="16"/>
        </w:rPr>
        <w:t>stokastik</w:t>
      </w:r>
      <w:proofErr w:type="spellEnd"/>
      <w:r w:rsidRPr="008645C1">
        <w:rPr>
          <w:rFonts w:cstheme="minorHAnsi"/>
          <w:b/>
          <w:bCs/>
          <w:i/>
          <w:iCs/>
          <w:sz w:val="16"/>
          <w:szCs w:val="16"/>
        </w:rPr>
        <w:t xml:space="preserve"> baskındır</w:t>
      </w:r>
      <w:r w:rsidRPr="008645C1">
        <w:rPr>
          <w:rFonts w:cstheme="minorHAnsi"/>
          <w:sz w:val="16"/>
          <w:szCs w:val="16"/>
        </w:rPr>
        <w:t xml:space="preserve">” denir ve </w:t>
      </w:r>
      <m:oMath>
        <m:r>
          <m:rPr>
            <m:sty m:val="bi"/>
          </m:rPr>
          <w:rPr>
            <w:rFonts w:ascii="Cambria Math" w:hAnsi="Cambria Math" w:cstheme="minorHAnsi"/>
            <w:sz w:val="16"/>
            <w:szCs w:val="16"/>
          </w:rPr>
          <m:t>f</m:t>
        </m:r>
        <m:sSub>
          <m:sSubPr>
            <m:ctrlPr>
              <w:rPr>
                <w:rFonts w:ascii="Cambria Math" w:hAnsi="Cambria Math" w:cstheme="minorHAnsi"/>
                <w:b/>
                <w:bCs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16"/>
                <w:szCs w:val="16"/>
              </w:rPr>
              <m:t>≽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16"/>
                <w:szCs w:val="16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16"/>
            <w:szCs w:val="16"/>
          </w:rPr>
          <m:t>g</m:t>
        </m:r>
      </m:oMath>
      <w:r w:rsidRPr="008645C1">
        <w:rPr>
          <w:rFonts w:cstheme="minorHAnsi"/>
          <w:b/>
          <w:bCs/>
          <w:sz w:val="16"/>
          <w:szCs w:val="16"/>
        </w:rPr>
        <w:t xml:space="preserve"> </w:t>
      </w:r>
      <w:r w:rsidRPr="008645C1">
        <w:rPr>
          <w:rFonts w:cstheme="minorHAnsi"/>
          <w:sz w:val="16"/>
          <w:szCs w:val="16"/>
        </w:rPr>
        <w:t xml:space="preserve">ile gösterilir. Bir </w:t>
      </w:r>
      <w:proofErr w:type="spellStart"/>
      <w:r w:rsidRPr="008645C1">
        <w:rPr>
          <w:rFonts w:cstheme="minorHAnsi"/>
          <w:sz w:val="16"/>
          <w:szCs w:val="16"/>
        </w:rPr>
        <w:t>raslantı</w:t>
      </w:r>
      <w:proofErr w:type="spellEnd"/>
      <w:r w:rsidRPr="008645C1">
        <w:rPr>
          <w:rFonts w:cstheme="minorHAnsi"/>
          <w:sz w:val="16"/>
          <w:szCs w:val="16"/>
        </w:rPr>
        <w:t xml:space="preserve"> değişkeni olan </w:t>
      </w:r>
      <w:proofErr w:type="spellStart"/>
      <w:r w:rsidRPr="008645C1">
        <w:rPr>
          <w:rFonts w:cstheme="minorHAnsi"/>
          <w:sz w:val="16"/>
          <w:szCs w:val="16"/>
        </w:rPr>
        <w:t>x’in</w:t>
      </w:r>
      <w:proofErr w:type="spellEnd"/>
      <w:r w:rsidRPr="008645C1">
        <w:rPr>
          <w:rFonts w:cstheme="minorHAnsi"/>
          <w:sz w:val="16"/>
          <w:szCs w:val="16"/>
        </w:rPr>
        <w:t xml:space="preserve"> bir eşik değer olarak η hedefi için </w:t>
      </w:r>
      <w:r w:rsidR="00191851" w:rsidRPr="008645C1">
        <w:rPr>
          <w:rFonts w:cstheme="minorHAnsi"/>
          <w:sz w:val="16"/>
          <w:szCs w:val="16"/>
        </w:rPr>
        <w:t xml:space="preserve">ikinci dereceden </w:t>
      </w:r>
      <w:proofErr w:type="spellStart"/>
      <w:r w:rsidR="00191851" w:rsidRPr="008645C1">
        <w:rPr>
          <w:rFonts w:cstheme="minorHAnsi"/>
          <w:sz w:val="16"/>
          <w:szCs w:val="16"/>
        </w:rPr>
        <w:t>stokastik</w:t>
      </w:r>
      <w:proofErr w:type="spellEnd"/>
      <w:r w:rsidR="00191851" w:rsidRPr="008645C1">
        <w:rPr>
          <w:rFonts w:cstheme="minorHAnsi"/>
          <w:sz w:val="16"/>
          <w:szCs w:val="16"/>
        </w:rPr>
        <w:t xml:space="preserve"> baskınlık</w:t>
      </w:r>
      <w:r w:rsidRPr="008645C1">
        <w:rPr>
          <w:rFonts w:cstheme="minorHAnsi"/>
          <w:sz w:val="16"/>
          <w:szCs w:val="16"/>
        </w:rPr>
        <w:t xml:space="preserve"> ilişkisi tüm </w:t>
      </w:r>
      <w:proofErr w:type="spellStart"/>
      <w:r w:rsidRPr="008645C1">
        <w:rPr>
          <w:rFonts w:cstheme="minorHAnsi"/>
          <w:sz w:val="16"/>
          <w:szCs w:val="16"/>
        </w:rPr>
        <w:t>η</w:t>
      </w:r>
      <w:r w:rsidRPr="008645C1">
        <w:rPr>
          <w:rFonts w:ascii="Cambria Math" w:hAnsi="Cambria Math" w:cs="Cambria Math"/>
          <w:sz w:val="16"/>
          <w:szCs w:val="16"/>
        </w:rPr>
        <w:t>∈</w:t>
      </w:r>
      <w:r w:rsidRPr="008645C1">
        <w:rPr>
          <w:rFonts w:cstheme="minorHAnsi"/>
          <w:sz w:val="16"/>
          <w:szCs w:val="16"/>
        </w:rPr>
        <w:t>R</w:t>
      </w:r>
      <w:proofErr w:type="spellEnd"/>
      <w:r w:rsidRPr="008645C1">
        <w:rPr>
          <w:rFonts w:cstheme="minorHAnsi"/>
          <w:sz w:val="16"/>
          <w:szCs w:val="16"/>
        </w:rPr>
        <w:t xml:space="preserve"> değerleri için </w:t>
      </w:r>
      <m:oMath>
        <m:r>
          <w:rPr>
            <w:rFonts w:ascii="Cambria Math" w:hAnsi="Cambria Math" w:cstheme="minorHAnsi"/>
            <w:sz w:val="16"/>
            <w:szCs w:val="16"/>
          </w:rPr>
          <m:t>E</m:t>
        </m:r>
        <m:d>
          <m:d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η-f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+</m:t>
                </m:r>
              </m:sub>
            </m:sSub>
          </m:e>
        </m:d>
        <m:r>
          <w:rPr>
            <w:rFonts w:ascii="Cambria Math" w:hAnsi="Cambria Math" w:cstheme="minorHAnsi"/>
            <w:sz w:val="16"/>
            <w:szCs w:val="16"/>
          </w:rPr>
          <m:t>≤E</m:t>
        </m:r>
        <m:d>
          <m:d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16"/>
                    <w:szCs w:val="1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16"/>
                        <w:szCs w:val="16"/>
                      </w:rPr>
                      <m:t>η-g</m:t>
                    </m:r>
                  </m:e>
                </m:d>
              </m:e>
              <m:sub>
                <m:r>
                  <w:rPr>
                    <w:rFonts w:ascii="Cambria Math" w:hAnsi="Cambria Math" w:cstheme="minorHAnsi"/>
                    <w:sz w:val="16"/>
                    <w:szCs w:val="16"/>
                  </w:rPr>
                  <m:t>+</m:t>
                </m:r>
              </m:sub>
            </m:sSub>
          </m:e>
        </m:d>
      </m:oMath>
      <w:r w:rsidRPr="008645C1">
        <w:rPr>
          <w:rFonts w:cstheme="minorHAnsi"/>
          <w:sz w:val="16"/>
          <w:szCs w:val="16"/>
        </w:rPr>
        <w:t xml:space="preserve"> olarak tanımlanır. Bu tanıma göre, f dağılımı g dağılımına göre daha tahmin edilebilir veya daha az risk içerir şeklinde yorumlanır. </w:t>
      </w:r>
    </w:p>
    <w:p w14:paraId="364A31BE" w14:textId="779B42A4" w:rsidR="006E762E" w:rsidRPr="00697AFA" w:rsidRDefault="006E762E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0"/>
          <w:szCs w:val="16"/>
          <w:lang w:val="en-GB"/>
        </w:rPr>
      </w:pPr>
      <w:r w:rsidRPr="00697AFA">
        <w:rPr>
          <w:rFonts w:cstheme="minorHAnsi"/>
          <w:b/>
          <w:sz w:val="20"/>
          <w:szCs w:val="16"/>
          <w:lang w:val="en-GB"/>
        </w:rPr>
        <w:t>4</w:t>
      </w:r>
      <w:r w:rsidR="00EB6943" w:rsidRPr="00697AFA">
        <w:rPr>
          <w:rFonts w:cstheme="minorHAnsi"/>
          <w:b/>
          <w:sz w:val="20"/>
          <w:szCs w:val="16"/>
          <w:lang w:val="en-GB"/>
        </w:rPr>
        <w:t xml:space="preserve">. </w:t>
      </w:r>
      <w:r w:rsidR="00E4166A" w:rsidRPr="00697AFA">
        <w:rPr>
          <w:rFonts w:cstheme="minorHAnsi"/>
          <w:b/>
          <w:sz w:val="20"/>
          <w:szCs w:val="16"/>
          <w:lang w:val="en-GB"/>
        </w:rPr>
        <w:t>BULGULAR</w:t>
      </w:r>
    </w:p>
    <w:p w14:paraId="7E39BE41" w14:textId="3A6F921D" w:rsidR="00D91DCA" w:rsidRPr="008645C1" w:rsidRDefault="00F3249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  <w:lang w:val="en-GB"/>
        </w:rPr>
      </w:pP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İkinci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dereceden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stokastik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baskınlık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k</w:t>
      </w:r>
      <w:r w:rsidR="00600CF2" w:rsidRPr="008645C1">
        <w:rPr>
          <w:rFonts w:cstheme="minorHAnsi"/>
          <w:bCs/>
          <w:iCs/>
          <w:sz w:val="16"/>
          <w:szCs w:val="16"/>
          <w:lang w:val="en-GB"/>
        </w:rPr>
        <w:t>arşılaştırmalar</w:t>
      </w:r>
      <w:r w:rsidRPr="008645C1">
        <w:rPr>
          <w:rFonts w:cstheme="minorHAnsi"/>
          <w:bCs/>
          <w:iCs/>
          <w:sz w:val="16"/>
          <w:szCs w:val="16"/>
          <w:lang w:val="en-GB"/>
        </w:rPr>
        <w:t>ı</w:t>
      </w:r>
      <w:proofErr w:type="spellEnd"/>
      <w:r w:rsidR="00600CF2"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bir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önceki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bölümde</w:t>
      </w:r>
      <w:proofErr w:type="spellEnd"/>
      <w:r w:rsidR="00600CF2"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tanımda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="00600CF2" w:rsidRPr="008645C1">
        <w:rPr>
          <w:rFonts w:cstheme="minorHAnsi"/>
          <w:bCs/>
          <w:iCs/>
          <w:sz w:val="16"/>
          <w:szCs w:val="16"/>
          <w:lang w:val="en-GB"/>
        </w:rPr>
        <w:t>verilen</w:t>
      </w:r>
      <w:proofErr w:type="spellEnd"/>
      <w:r w:rsidR="00600CF2"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="00600CF2" w:rsidRPr="008645C1">
        <w:rPr>
          <w:rFonts w:cstheme="minorHAnsi"/>
          <w:bCs/>
          <w:iCs/>
          <w:sz w:val="16"/>
          <w:szCs w:val="16"/>
          <w:lang w:val="en-GB"/>
        </w:rPr>
        <w:t>formül</w:t>
      </w:r>
      <w:r w:rsidRPr="008645C1">
        <w:rPr>
          <w:rFonts w:cstheme="minorHAnsi"/>
          <w:bCs/>
          <w:iCs/>
          <w:sz w:val="16"/>
          <w:szCs w:val="16"/>
          <w:lang w:val="en-GB"/>
        </w:rPr>
        <w:t>le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elde</w:t>
      </w:r>
      <w:proofErr w:type="spellEnd"/>
      <w:r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Pr="008645C1">
        <w:rPr>
          <w:rFonts w:cstheme="minorHAnsi"/>
          <w:bCs/>
          <w:iCs/>
          <w:sz w:val="16"/>
          <w:szCs w:val="16"/>
          <w:lang w:val="en-GB"/>
        </w:rPr>
        <w:t>edil</w:t>
      </w:r>
      <w:r w:rsidR="00F970D7" w:rsidRPr="008645C1">
        <w:rPr>
          <w:rFonts w:cstheme="minorHAnsi"/>
          <w:bCs/>
          <w:iCs/>
          <w:sz w:val="16"/>
          <w:szCs w:val="16"/>
          <w:lang w:val="en-GB"/>
        </w:rPr>
        <w:t>miş</w:t>
      </w:r>
      <w:proofErr w:type="spellEnd"/>
      <w:r w:rsidR="00F970D7"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="00F970D7" w:rsidRPr="008645C1">
        <w:rPr>
          <w:rFonts w:cstheme="minorHAnsi"/>
          <w:bCs/>
          <w:iCs/>
          <w:sz w:val="16"/>
          <w:szCs w:val="16"/>
          <w:lang w:val="en-GB"/>
        </w:rPr>
        <w:t>ve</w:t>
      </w:r>
      <w:proofErr w:type="spellEnd"/>
      <w:r w:rsidR="00600CF2"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="00A81B08" w:rsidRPr="008645C1">
        <w:rPr>
          <w:rFonts w:cstheme="minorHAnsi"/>
          <w:bCs/>
          <w:iCs/>
          <w:sz w:val="16"/>
          <w:szCs w:val="16"/>
          <w:lang w:val="en-GB"/>
        </w:rPr>
        <w:t>Tablo</w:t>
      </w:r>
      <w:proofErr w:type="spellEnd"/>
      <w:r w:rsidR="00A81B08" w:rsidRPr="008645C1">
        <w:rPr>
          <w:rFonts w:cstheme="minorHAnsi"/>
          <w:bCs/>
          <w:iCs/>
          <w:sz w:val="16"/>
          <w:szCs w:val="16"/>
          <w:lang w:val="en-GB"/>
        </w:rPr>
        <w:t xml:space="preserve"> 2’de</w:t>
      </w:r>
      <w:r w:rsidR="00600CF2" w:rsidRPr="008645C1">
        <w:rPr>
          <w:rFonts w:cstheme="minorHAnsi"/>
          <w:bCs/>
          <w:iCs/>
          <w:sz w:val="16"/>
          <w:szCs w:val="16"/>
          <w:lang w:val="en-GB"/>
        </w:rPr>
        <w:t xml:space="preserve"> </w:t>
      </w:r>
      <w:proofErr w:type="spellStart"/>
      <w:r w:rsidR="00600CF2" w:rsidRPr="008645C1">
        <w:rPr>
          <w:rFonts w:cstheme="minorHAnsi"/>
          <w:bCs/>
          <w:iCs/>
          <w:sz w:val="16"/>
          <w:szCs w:val="16"/>
          <w:lang w:val="en-GB"/>
        </w:rPr>
        <w:t>sunulmuştur</w:t>
      </w:r>
      <w:proofErr w:type="spellEnd"/>
      <w:r w:rsidR="00C04816" w:rsidRPr="008645C1">
        <w:rPr>
          <w:rFonts w:cstheme="minorHAnsi"/>
          <w:bCs/>
          <w:iCs/>
          <w:sz w:val="16"/>
          <w:szCs w:val="16"/>
          <w:lang w:val="en-GB"/>
        </w:rPr>
        <w:t>.</w:t>
      </w:r>
      <w:r w:rsidR="00D91DCA" w:rsidRPr="008645C1">
        <w:rPr>
          <w:rFonts w:cstheme="minorHAnsi"/>
          <w:sz w:val="16"/>
          <w:szCs w:val="16"/>
          <w:lang w:val="en-GB"/>
        </w:rPr>
        <w:t xml:space="preserve"> </w:t>
      </w:r>
    </w:p>
    <w:p w14:paraId="78D3127C" w14:textId="513F1A39" w:rsidR="00B424C8" w:rsidRPr="008645C1" w:rsidRDefault="00B424C8" w:rsidP="00697AFA">
      <w:pPr>
        <w:spacing w:before="120" w:after="120" w:line="240" w:lineRule="auto"/>
        <w:rPr>
          <w:rFonts w:cstheme="minorHAnsi"/>
          <w:b/>
          <w:sz w:val="16"/>
          <w:szCs w:val="16"/>
        </w:rPr>
      </w:pPr>
      <w:r w:rsidRPr="008645C1">
        <w:rPr>
          <w:rFonts w:cstheme="minorHAnsi"/>
          <w:b/>
          <w:sz w:val="16"/>
          <w:szCs w:val="16"/>
          <w:lang w:val="en-GB"/>
        </w:rPr>
        <w:t xml:space="preserve">Table 2: </w:t>
      </w:r>
      <w:r w:rsidRPr="008645C1">
        <w:rPr>
          <w:rFonts w:cstheme="minorHAnsi"/>
          <w:b/>
          <w:bCs/>
          <w:sz w:val="16"/>
          <w:szCs w:val="16"/>
        </w:rPr>
        <w:t>İkili Karşılaştırmalarla Etkinlik Sonuçları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6"/>
        <w:gridCol w:w="756"/>
        <w:gridCol w:w="756"/>
        <w:gridCol w:w="756"/>
        <w:gridCol w:w="756"/>
        <w:gridCol w:w="756"/>
        <w:gridCol w:w="756"/>
        <w:gridCol w:w="756"/>
        <w:gridCol w:w="754"/>
        <w:gridCol w:w="748"/>
      </w:tblGrid>
      <w:tr w:rsidR="002D11A3" w:rsidRPr="008645C1" w14:paraId="133670A2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50A7" w14:textId="4706DE57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rank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919E" w14:textId="6D8C8A0B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2029" w14:textId="4398AB0D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btc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C3B1" w14:textId="52E6F0A8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eth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48D3" w14:textId="00AB3C32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usdt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EE12" w14:textId="4430F180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xrp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BFCF" w14:textId="24ADA334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bch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3408" w14:textId="345ACFD1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proofErr w:type="gram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link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AC37D" w14:textId="1AE35B2C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bnb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6F2B" w14:textId="1F2D5D16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ltc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BFE2" w14:textId="2A58CE04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usdc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8ECF0" w14:textId="2BE42BB2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proofErr w:type="gram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ada</w:t>
            </w:r>
            <w:proofErr w:type="gramEnd"/>
          </w:p>
        </w:tc>
      </w:tr>
      <w:tr w:rsidR="002D11A3" w:rsidRPr="008645C1" w14:paraId="7A6F8DDB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8B98" w14:textId="6B6D2700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BF13" w14:textId="557E14F3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btc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F274" w14:textId="60F6821F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EA35" w14:textId="6BEAC2EA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C933" w14:textId="28447B2D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733B" w14:textId="6636440A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BF39" w14:textId="4ADD138A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CA21" w14:textId="1E438228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4312" w14:textId="1EE4F706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DB0F" w14:textId="50E56763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3C045" w14:textId="0BBC2260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3C73F" w14:textId="4B7F7572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2D11A3" w:rsidRPr="008645C1" w14:paraId="7A4431B7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9D4C" w14:textId="73C97592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128D" w14:textId="12B0561B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eth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88CF" w14:textId="11E40B39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CA67" w14:textId="748F5322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B287" w14:textId="39753FDB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2222" w14:textId="621F7BD0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FFD3" w14:textId="6CDDD0CC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FF77" w14:textId="14A01414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72D1" w14:textId="5C2F0161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75B2" w14:textId="1254D656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0939" w14:textId="5BAF4A87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FCE8F" w14:textId="6ECAFA1A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</w:tr>
      <w:tr w:rsidR="002D11A3" w:rsidRPr="008645C1" w14:paraId="2401A286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CEC55" w14:textId="7BE9A836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984F8" w14:textId="4DE707B1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usdt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FF0E" w14:textId="331EF6AE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DD16" w14:textId="45EA41D5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1878F" w14:textId="46EC734D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CCA98" w14:textId="78103287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43DA8" w14:textId="206F51EB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1964" w14:textId="69A654FF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F67B" w14:textId="2D17B66B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CAEC4" w14:textId="01BE0369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96620" w14:textId="71959321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BA0F" w14:textId="123A5DD7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2D11A3" w:rsidRPr="008645C1" w14:paraId="5F51DC41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30747" w14:textId="642ECD75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C25A" w14:textId="728CDEDD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xrp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ED7E1" w14:textId="214EAA91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32E7" w14:textId="61F22DE7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F9A8F" w14:textId="22D7DDB9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8165C" w14:textId="4E61BDC6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4B6AF" w14:textId="16BA3E48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46C5" w14:textId="01F41279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4BC52" w14:textId="0B7555EC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97DF1" w14:textId="2F6DE76D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14C9D" w14:textId="2653FCE8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D024" w14:textId="7F1A2356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2D11A3" w:rsidRPr="008645C1" w14:paraId="222D51E3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B40BA" w14:textId="28CA94A4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F6BA" w14:textId="7EB51325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bch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A25" w14:textId="03AC5BCB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12D7" w14:textId="064A3D36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A0BE" w14:textId="691AF883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7839" w14:textId="4ABCA6C3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8805" w14:textId="42565344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E22ED" w14:textId="04C53C09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A248" w14:textId="1D9CE111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4893C" w14:textId="2672FAB5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19DFC" w14:textId="2408A7B4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6A88F" w14:textId="7B1675D6" w:rsidR="002D11A3" w:rsidRPr="008645C1" w:rsidRDefault="002D11A3" w:rsidP="002D11A3">
            <w:pPr>
              <w:spacing w:line="259" w:lineRule="auto"/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2D11A3" w:rsidRPr="008645C1" w14:paraId="78671CB7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F446" w14:textId="27B37D97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3CBD" w14:textId="2BE5E498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link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24B4" w14:textId="2D7F73C9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20E2" w14:textId="0D89B453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644E" w14:textId="76D78082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AF7E" w14:textId="4469E972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029D" w14:textId="2E2D9BBF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0C31" w14:textId="26BCC65B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6E65" w14:textId="33124DFA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F42E" w14:textId="60463D25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85A3B" w14:textId="01A49FAB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A7B40" w14:textId="238E13D4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</w:tr>
      <w:tr w:rsidR="002D11A3" w:rsidRPr="008645C1" w14:paraId="7ED5AAC6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ED747" w14:textId="1C9B620B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614D0" w14:textId="100CFD8E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bnb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377F" w14:textId="5D67D93C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C60F" w14:textId="7405AE2B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ECC4" w14:textId="18F7A833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6428" w14:textId="6FFC7AAD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C219" w14:textId="43FB29FF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F2C7" w14:textId="1586EBE3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90E3" w14:textId="74142B8B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53113" w14:textId="44D769A8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89338" w14:textId="16FD3D1B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CC13" w14:textId="0C1DFDF1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2D11A3" w:rsidRPr="008645C1" w14:paraId="01C5083D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2AED8" w14:textId="75A3C4D0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C5DE1" w14:textId="26C25D98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ltc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A424D" w14:textId="098D57C7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47AAE" w14:textId="0E6D32AE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4856" w14:textId="0E3DF855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47F61" w14:textId="7A6C946A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1A03" w14:textId="3286A7E9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BA35" w14:textId="72E463CB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C6A48" w14:textId="3ED54DE5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1CA1" w14:textId="181A1A71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5297A" w14:textId="3C752922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0C1" w14:textId="75B7CD26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2D11A3" w:rsidRPr="008645C1" w14:paraId="0378D931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DD967" w14:textId="274615CE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2EA80" w14:textId="46BF41FF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usdc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1ECA" w14:textId="3253BC63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BF1AD" w14:textId="516EF941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337BE" w14:textId="295D23E8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0493" w14:textId="75374755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C3C1" w14:textId="64B86FBA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BAC8" w14:textId="12A3297C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31D9" w14:textId="187B37A4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053C" w14:textId="4A124DE4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B07F" w14:textId="3B431053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6BD4B" w14:textId="16D61A98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2D11A3" w:rsidRPr="008645C1" w14:paraId="655D522B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A0C4" w14:textId="2EC6F5E9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1D268" w14:textId="21D4CA6E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ada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CE87" w14:textId="7B66AF2E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E8D8" w14:textId="2D5B7405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8269" w14:textId="287EA47B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2EDC" w14:textId="1D78D329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0274" w14:textId="3F498285" w:rsidR="002D11A3" w:rsidRPr="008645C1" w:rsidRDefault="002D11A3" w:rsidP="002D11A3">
            <w:pPr>
              <w:ind w:right="-283"/>
              <w:rPr>
                <w:rFonts w:cstheme="minorHAnsi"/>
                <w:b/>
                <w:sz w:val="16"/>
                <w:szCs w:val="16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4D889" w14:textId="0220EBC2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D9AF" w14:textId="440110DF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E736" w14:textId="77F118F9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FE41" w14:textId="7757F0C1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AC01" w14:textId="03BC1653" w:rsidR="002D11A3" w:rsidRPr="008645C1" w:rsidRDefault="002D11A3" w:rsidP="002D11A3">
            <w:pPr>
              <w:ind w:right="-283"/>
              <w:rPr>
                <w:rFonts w:cstheme="minorHAnsi"/>
                <w:sz w:val="16"/>
                <w:szCs w:val="16"/>
                <w:highlight w:val="yellow"/>
              </w:rPr>
            </w:pPr>
            <w:r w:rsidRPr="008645C1"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  <w:t xml:space="preserve">Etkin </w:t>
            </w:r>
          </w:p>
        </w:tc>
      </w:tr>
      <w:tr w:rsidR="00FA5781" w:rsidRPr="008645C1" w14:paraId="7E84FC97" w14:textId="77777777" w:rsidTr="00384688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2FED" w14:textId="77777777" w:rsidR="00FA5781" w:rsidRPr="008645C1" w:rsidRDefault="00FA5781" w:rsidP="00FA5781">
            <w:pPr>
              <w:ind w:right="-283"/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B3F55" w14:textId="4DF9F86D" w:rsidR="00FA5781" w:rsidRPr="008645C1" w:rsidRDefault="00FA5781" w:rsidP="00FA5781">
            <w:pPr>
              <w:ind w:right="-283"/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Toplam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8E79" w14:textId="349048C7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95B2" w14:textId="1E44B8A3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8A0F" w14:textId="4D6BFD7C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245D" w14:textId="42E867B2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D61F" w14:textId="68DEF5D9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45B7" w14:textId="4C8A6C09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8713F" w14:textId="755F65D1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49CB" w14:textId="67D1E6E1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A44B" w14:textId="7A932B90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D040" w14:textId="7AFB2DBE" w:rsidR="00FA5781" w:rsidRPr="008645C1" w:rsidRDefault="00FA5781" w:rsidP="00FA5781">
            <w:pPr>
              <w:ind w:right="-283"/>
              <w:rPr>
                <w:rFonts w:cstheme="minorHAnsi"/>
                <w:color w:val="000000" w:themeColor="dark1"/>
                <w:kern w:val="24"/>
                <w:sz w:val="16"/>
                <w:szCs w:val="16"/>
              </w:rPr>
            </w:pPr>
            <w:r w:rsidRPr="008645C1">
              <w:rPr>
                <w:rFonts w:cstheme="minorHAnsi"/>
                <w:b/>
                <w:bCs/>
                <w:color w:val="000000" w:themeColor="dark1"/>
                <w:kern w:val="24"/>
                <w:sz w:val="16"/>
                <w:szCs w:val="16"/>
              </w:rPr>
              <w:t>8</w:t>
            </w:r>
          </w:p>
        </w:tc>
      </w:tr>
    </w:tbl>
    <w:p w14:paraId="3ED54CE5" w14:textId="55805E6E" w:rsidR="00264AB5" w:rsidRPr="008645C1" w:rsidRDefault="00E2014F" w:rsidP="00697AFA">
      <w:pPr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>Tablo 2</w:t>
      </w:r>
      <w:r w:rsidR="00C47153" w:rsidRPr="008645C1">
        <w:rPr>
          <w:rFonts w:cstheme="minorHAnsi"/>
          <w:bCs/>
          <w:iCs/>
          <w:sz w:val="16"/>
          <w:szCs w:val="16"/>
        </w:rPr>
        <w:t>’den</w:t>
      </w:r>
      <w:r w:rsidRPr="008645C1">
        <w:rPr>
          <w:rFonts w:cstheme="minorHAnsi"/>
          <w:bCs/>
          <w:iCs/>
          <w:sz w:val="16"/>
          <w:szCs w:val="16"/>
        </w:rPr>
        <w:t xml:space="preserve">, </w:t>
      </w:r>
      <w:r w:rsidR="00C47153" w:rsidRPr="008645C1">
        <w:rPr>
          <w:rFonts w:cstheme="minorHAnsi"/>
          <w:bCs/>
          <w:iCs/>
          <w:sz w:val="16"/>
          <w:szCs w:val="16"/>
        </w:rPr>
        <w:t xml:space="preserve">sütunlarda ismi yazan bir </w:t>
      </w:r>
      <w:proofErr w:type="gramStart"/>
      <w:r w:rsidR="00C47153"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="00C47153" w:rsidRPr="008645C1">
        <w:rPr>
          <w:rFonts w:cstheme="minorHAnsi"/>
          <w:bCs/>
          <w:iCs/>
          <w:sz w:val="16"/>
          <w:szCs w:val="16"/>
        </w:rPr>
        <w:t xml:space="preserve"> paranın satırlarda yer alan kripto paraya göre etkin olup olmadığı bilgisi verilmektedir. Örneğin, 10 </w:t>
      </w:r>
      <w:proofErr w:type="gramStart"/>
      <w:r w:rsidR="00C47153"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="00C47153" w:rsidRPr="008645C1">
        <w:rPr>
          <w:rFonts w:cstheme="minorHAnsi"/>
          <w:bCs/>
          <w:iCs/>
          <w:sz w:val="16"/>
          <w:szCs w:val="16"/>
        </w:rPr>
        <w:t xml:space="preserve"> para içerisinden biri olarak link diğer 9 para birimine etkindir, diğer bir ifade ile ikinci dereceden </w:t>
      </w:r>
      <w:proofErr w:type="spellStart"/>
      <w:r w:rsidR="00C47153" w:rsidRPr="008645C1">
        <w:rPr>
          <w:rFonts w:cstheme="minorHAnsi"/>
          <w:bCs/>
          <w:iCs/>
          <w:sz w:val="16"/>
          <w:szCs w:val="16"/>
        </w:rPr>
        <w:t>stokastik</w:t>
      </w:r>
      <w:proofErr w:type="spellEnd"/>
      <w:r w:rsidR="00C47153" w:rsidRPr="008645C1">
        <w:rPr>
          <w:rFonts w:cstheme="minorHAnsi"/>
          <w:bCs/>
          <w:iCs/>
          <w:sz w:val="16"/>
          <w:szCs w:val="16"/>
        </w:rPr>
        <w:t xml:space="preserve"> baskındır. Bir </w:t>
      </w:r>
      <w:proofErr w:type="gramStart"/>
      <w:r w:rsidR="00C47153"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="00C47153" w:rsidRPr="008645C1">
        <w:rPr>
          <w:rFonts w:cstheme="minorHAnsi"/>
          <w:bCs/>
          <w:iCs/>
          <w:sz w:val="16"/>
          <w:szCs w:val="16"/>
        </w:rPr>
        <w:t xml:space="preserve"> para getiri serisinin kendisine baskın olduğu ya da olamadığı gibi bir durum söz konusu olamayacağından bu hücreler (‘–‘ işareti ile) boş bırakılmıştır. </w:t>
      </w:r>
      <w:proofErr w:type="spellStart"/>
      <w:r w:rsidR="00C47153" w:rsidRPr="008645C1">
        <w:rPr>
          <w:rFonts w:cstheme="minorHAnsi"/>
          <w:bCs/>
          <w:iCs/>
          <w:sz w:val="16"/>
          <w:szCs w:val="16"/>
        </w:rPr>
        <w:t>Usdt</w:t>
      </w:r>
      <w:proofErr w:type="spellEnd"/>
      <w:r w:rsidR="00C47153"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gramStart"/>
      <w:r w:rsidR="00C47153"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="00C47153" w:rsidRPr="008645C1">
        <w:rPr>
          <w:rFonts w:cstheme="minorHAnsi"/>
          <w:bCs/>
          <w:iCs/>
          <w:sz w:val="16"/>
          <w:szCs w:val="16"/>
        </w:rPr>
        <w:t xml:space="preserve"> para biriminin ise hiç etkinlik alamayan bir kripto para olduğu görülmektedir.</w:t>
      </w:r>
      <w:r w:rsidR="00DF4A9E" w:rsidRPr="008645C1">
        <w:rPr>
          <w:rFonts w:cstheme="minorHAnsi"/>
          <w:bCs/>
          <w:iCs/>
          <w:sz w:val="16"/>
          <w:szCs w:val="16"/>
        </w:rPr>
        <w:t xml:space="preserve"> Hücrelerdeki etkinlik daha açık bir ifade ile şu şekilde yorumlanabilir; örneğin </w:t>
      </w:r>
      <w:proofErr w:type="spellStart"/>
      <w:r w:rsidR="00DF4A9E" w:rsidRPr="008645C1">
        <w:rPr>
          <w:rFonts w:cstheme="minorHAnsi"/>
          <w:bCs/>
          <w:iCs/>
          <w:sz w:val="16"/>
          <w:szCs w:val="16"/>
        </w:rPr>
        <w:t>eth</w:t>
      </w:r>
      <w:proofErr w:type="spellEnd"/>
      <w:r w:rsidR="00DF4A9E" w:rsidRPr="008645C1">
        <w:rPr>
          <w:rFonts w:cstheme="minorHAnsi"/>
          <w:bCs/>
          <w:iCs/>
          <w:sz w:val="16"/>
          <w:szCs w:val="16"/>
        </w:rPr>
        <w:t xml:space="preserve"> ve </w:t>
      </w:r>
      <w:proofErr w:type="spellStart"/>
      <w:r w:rsidR="00DF4A9E" w:rsidRPr="008645C1">
        <w:rPr>
          <w:rFonts w:cstheme="minorHAnsi"/>
          <w:bCs/>
          <w:iCs/>
          <w:sz w:val="16"/>
          <w:szCs w:val="16"/>
        </w:rPr>
        <w:t>btc</w:t>
      </w:r>
      <w:proofErr w:type="spellEnd"/>
      <w:r w:rsidR="00DF4A9E"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gramStart"/>
      <w:r w:rsidR="00DF4A9E"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="00DF4A9E"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spellStart"/>
      <w:r w:rsidR="00DF4A9E" w:rsidRPr="008645C1">
        <w:rPr>
          <w:rFonts w:cstheme="minorHAnsi"/>
          <w:bCs/>
          <w:iCs/>
          <w:sz w:val="16"/>
          <w:szCs w:val="16"/>
        </w:rPr>
        <w:t>parabirimlerinin</w:t>
      </w:r>
      <w:proofErr w:type="spellEnd"/>
      <w:r w:rsidR="00DF4A9E" w:rsidRPr="008645C1">
        <w:rPr>
          <w:rFonts w:cstheme="minorHAnsi"/>
          <w:bCs/>
          <w:iCs/>
          <w:sz w:val="16"/>
          <w:szCs w:val="16"/>
        </w:rPr>
        <w:t xml:space="preserve"> getirileri düşükten yükseğe doğru olacak şekilde kayıptan kazanca doğru sıralanmış olsun. Herhangi bir eşik getiri düzeyine göre; bu eşik düzeyinden daha düşük tüm mümkün getirilerin ortalaması </w:t>
      </w:r>
      <w:proofErr w:type="spellStart"/>
      <w:r w:rsidR="00DF4A9E" w:rsidRPr="008645C1">
        <w:rPr>
          <w:rFonts w:cstheme="minorHAnsi"/>
          <w:bCs/>
          <w:iCs/>
          <w:sz w:val="16"/>
          <w:szCs w:val="16"/>
        </w:rPr>
        <w:t>eth</w:t>
      </w:r>
      <w:proofErr w:type="spellEnd"/>
      <w:r w:rsidR="00DF4A9E"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gramStart"/>
      <w:r w:rsidR="00DF4A9E"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="00DF4A9E" w:rsidRPr="008645C1">
        <w:rPr>
          <w:rFonts w:cstheme="minorHAnsi"/>
          <w:bCs/>
          <w:iCs/>
          <w:sz w:val="16"/>
          <w:szCs w:val="16"/>
        </w:rPr>
        <w:t xml:space="preserve"> </w:t>
      </w:r>
      <w:r w:rsidR="00DF4A9E" w:rsidRPr="008645C1">
        <w:rPr>
          <w:rFonts w:cstheme="minorHAnsi"/>
          <w:bCs/>
          <w:iCs/>
          <w:sz w:val="16"/>
          <w:szCs w:val="16"/>
        </w:rPr>
        <w:lastRenderedPageBreak/>
        <w:t xml:space="preserve">para birimi için daha düşüktür. Bu nedenle </w:t>
      </w:r>
      <w:proofErr w:type="spellStart"/>
      <w:r w:rsidR="00DF4A9E" w:rsidRPr="008645C1">
        <w:rPr>
          <w:rFonts w:cstheme="minorHAnsi"/>
          <w:bCs/>
          <w:iCs/>
          <w:sz w:val="16"/>
          <w:szCs w:val="16"/>
        </w:rPr>
        <w:t>eth</w:t>
      </w:r>
      <w:proofErr w:type="spellEnd"/>
      <w:r w:rsidR="00DF4A9E" w:rsidRPr="008645C1">
        <w:rPr>
          <w:rFonts w:cstheme="minorHAnsi"/>
          <w:bCs/>
          <w:iCs/>
          <w:sz w:val="16"/>
          <w:szCs w:val="16"/>
        </w:rPr>
        <w:t xml:space="preserve"> </w:t>
      </w:r>
      <w:proofErr w:type="gramStart"/>
      <w:r w:rsidR="00DF4A9E" w:rsidRPr="008645C1">
        <w:rPr>
          <w:rFonts w:cstheme="minorHAnsi"/>
          <w:bCs/>
          <w:iCs/>
          <w:sz w:val="16"/>
          <w:szCs w:val="16"/>
        </w:rPr>
        <w:t>kripto</w:t>
      </w:r>
      <w:proofErr w:type="gramEnd"/>
      <w:r w:rsidR="00DF4A9E" w:rsidRPr="008645C1">
        <w:rPr>
          <w:rFonts w:cstheme="minorHAnsi"/>
          <w:bCs/>
          <w:iCs/>
          <w:sz w:val="16"/>
          <w:szCs w:val="16"/>
        </w:rPr>
        <w:t xml:space="preserve"> para birimi </w:t>
      </w:r>
      <w:proofErr w:type="spellStart"/>
      <w:r w:rsidR="00DF4A9E" w:rsidRPr="008645C1">
        <w:rPr>
          <w:rFonts w:cstheme="minorHAnsi"/>
          <w:bCs/>
          <w:iCs/>
          <w:sz w:val="16"/>
          <w:szCs w:val="16"/>
        </w:rPr>
        <w:t>btc</w:t>
      </w:r>
      <w:proofErr w:type="spellEnd"/>
      <w:r w:rsidR="00DF4A9E" w:rsidRPr="008645C1">
        <w:rPr>
          <w:rFonts w:cstheme="minorHAnsi"/>
          <w:bCs/>
          <w:iCs/>
          <w:sz w:val="16"/>
          <w:szCs w:val="16"/>
        </w:rPr>
        <w:t xml:space="preserve"> kripto para birimine göre ikinci dereceden </w:t>
      </w:r>
      <w:proofErr w:type="spellStart"/>
      <w:r w:rsidR="00DF4A9E" w:rsidRPr="008645C1">
        <w:rPr>
          <w:rFonts w:cstheme="minorHAnsi"/>
          <w:bCs/>
          <w:iCs/>
          <w:sz w:val="16"/>
          <w:szCs w:val="16"/>
        </w:rPr>
        <w:t>stokastik</w:t>
      </w:r>
      <w:proofErr w:type="spellEnd"/>
      <w:r w:rsidR="00DF4A9E" w:rsidRPr="008645C1">
        <w:rPr>
          <w:rFonts w:cstheme="minorHAnsi"/>
          <w:bCs/>
          <w:iCs/>
          <w:sz w:val="16"/>
          <w:szCs w:val="16"/>
        </w:rPr>
        <w:t xml:space="preserve"> baskınlık kriteri açısından etkindir. Dolayısıyla Tablo 2’de elde edilen sonuçlara bir bütün olarak bakıldığında da varılacak sonuçlar aşağıdaki alt başlıkta verilmektedir.</w:t>
      </w:r>
    </w:p>
    <w:p w14:paraId="07B606B8" w14:textId="79F49AA3" w:rsidR="004338B0" w:rsidRPr="00697AFA" w:rsidRDefault="00EB6943" w:rsidP="00697AFA">
      <w:pPr>
        <w:spacing w:before="120" w:after="120" w:line="240" w:lineRule="auto"/>
        <w:jc w:val="both"/>
        <w:rPr>
          <w:rFonts w:cstheme="minorHAnsi"/>
          <w:b/>
          <w:sz w:val="20"/>
          <w:szCs w:val="16"/>
          <w:lang w:val="en-GB"/>
        </w:rPr>
      </w:pPr>
      <w:r w:rsidRPr="00697AFA">
        <w:rPr>
          <w:rFonts w:cstheme="minorHAnsi"/>
          <w:b/>
          <w:sz w:val="20"/>
          <w:szCs w:val="16"/>
          <w:lang w:val="en-GB"/>
        </w:rPr>
        <w:t xml:space="preserve">5. </w:t>
      </w:r>
      <w:r w:rsidR="00A02F72" w:rsidRPr="00697AFA">
        <w:rPr>
          <w:rFonts w:cstheme="minorHAnsi"/>
          <w:b/>
          <w:sz w:val="20"/>
          <w:szCs w:val="16"/>
          <w:lang w:val="en-GB"/>
        </w:rPr>
        <w:t>SONUÇ</w:t>
      </w:r>
    </w:p>
    <w:p w14:paraId="2532BA62" w14:textId="77777777" w:rsidR="00D90E75" w:rsidRPr="008645C1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iCs/>
          <w:sz w:val="16"/>
          <w:szCs w:val="16"/>
        </w:rPr>
      </w:pPr>
      <w:r w:rsidRPr="008645C1">
        <w:rPr>
          <w:rFonts w:cstheme="minorHAnsi"/>
          <w:bCs/>
          <w:iCs/>
          <w:sz w:val="16"/>
          <w:szCs w:val="16"/>
        </w:rPr>
        <w:t xml:space="preserve">Yüksek risk ölçümleri potansiyel kayıpların karşılanması için yüksek risk sermayesi gerektirmektedir ve fiyatları ilgi çekecek düzeyde artış gösteren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 için yasal düzenlemeler eksiktir. Yatırımlarının genellikle riskli olduğu ve finansal olarak güvenli olmadığı ilgili çalışmalarda da değinilen </w:t>
      </w:r>
      <w:proofErr w:type="spellStart"/>
      <w:r w:rsidRPr="008645C1">
        <w:rPr>
          <w:rFonts w:cstheme="minorHAnsi"/>
          <w:bCs/>
          <w:iCs/>
          <w:sz w:val="16"/>
          <w:szCs w:val="16"/>
        </w:rPr>
        <w:t>kriptopara</w:t>
      </w:r>
      <w:proofErr w:type="spellEnd"/>
      <w:r w:rsidRPr="008645C1">
        <w:rPr>
          <w:rFonts w:cstheme="minorHAnsi"/>
          <w:bCs/>
          <w:iCs/>
          <w:sz w:val="16"/>
          <w:szCs w:val="16"/>
        </w:rPr>
        <w:t xml:space="preserve"> birimleri arasında tercih yaparken yatırımcılar dikkatli olmalıdırlar. Bu nedenle çalışmada elde edilen nicel sonuçlar yüksek finansal riske sahip olan ancak herhangi bir kontrole tabi olmayan pozisyonlardan korumak için oldukça önemlidir.</w:t>
      </w:r>
    </w:p>
    <w:p w14:paraId="24197157" w14:textId="7F7B91D2" w:rsidR="00DF4A9E" w:rsidRPr="00697AFA" w:rsidRDefault="00DF4A9E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  <w:lang w:val="en-US"/>
        </w:rPr>
      </w:pPr>
      <w:proofErr w:type="spellStart"/>
      <w:r w:rsidRPr="008645C1">
        <w:rPr>
          <w:rFonts w:cstheme="minorHAnsi"/>
          <w:sz w:val="16"/>
          <w:szCs w:val="16"/>
          <w:lang w:val="en-US"/>
        </w:rPr>
        <w:t>Çalışmada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kullanılan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10 </w:t>
      </w:r>
      <w:proofErr w:type="spellStart"/>
      <w:r w:rsidRPr="008645C1">
        <w:rPr>
          <w:rFonts w:cstheme="minorHAnsi"/>
          <w:sz w:val="16"/>
          <w:szCs w:val="16"/>
          <w:lang w:val="en-US"/>
        </w:rPr>
        <w:t>kripto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para </w:t>
      </w:r>
      <w:proofErr w:type="spellStart"/>
      <w:r w:rsidRPr="008645C1">
        <w:rPr>
          <w:rFonts w:cstheme="minorHAnsi"/>
          <w:sz w:val="16"/>
          <w:szCs w:val="16"/>
          <w:lang w:val="en-US"/>
        </w:rPr>
        <w:t>getirilerinin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ikinci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dereceden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stokastik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baskınlık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kriteri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ile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birbirlerine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göre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</w:t>
      </w:r>
      <w:r w:rsidR="00B424C8" w:rsidRPr="008645C1">
        <w:rPr>
          <w:rFonts w:cstheme="minorHAnsi"/>
          <w:sz w:val="16"/>
          <w:szCs w:val="16"/>
          <w:lang w:val="en-US"/>
        </w:rPr>
        <w:t>tkinlik</w:t>
      </w:r>
      <w:proofErr w:type="spellEnd"/>
      <w:r w:rsidR="00B424C8"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="00B424C8" w:rsidRPr="008645C1">
        <w:rPr>
          <w:rFonts w:cstheme="minorHAnsi"/>
          <w:sz w:val="16"/>
          <w:szCs w:val="16"/>
          <w:lang w:val="en-US"/>
        </w:rPr>
        <w:t>karşılaştırmaların</w:t>
      </w:r>
      <w:r w:rsidRPr="008645C1">
        <w:rPr>
          <w:rFonts w:cstheme="minorHAnsi"/>
          <w:sz w:val="16"/>
          <w:szCs w:val="16"/>
          <w:lang w:val="en-US"/>
        </w:rPr>
        <w:t>dan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aşağıdaki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sonuçlar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elde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edilebilmektedir</w:t>
      </w:r>
      <w:proofErr w:type="spellEnd"/>
      <w:r w:rsidRPr="008645C1">
        <w:rPr>
          <w:rFonts w:cstheme="minorHAnsi"/>
          <w:sz w:val="16"/>
          <w:szCs w:val="16"/>
          <w:lang w:val="en-US"/>
        </w:rPr>
        <w:t>:</w:t>
      </w:r>
    </w:p>
    <w:p w14:paraId="0D500D48" w14:textId="77777777" w:rsidR="00F57AD6" w:rsidRPr="00697AFA" w:rsidRDefault="004F1207" w:rsidP="00697AF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</w:rPr>
      </w:pPr>
      <w:r w:rsidRPr="00697AFA">
        <w:rPr>
          <w:rFonts w:cstheme="minorHAnsi"/>
          <w:bCs/>
          <w:sz w:val="16"/>
          <w:szCs w:val="16"/>
          <w:lang w:val="en-US"/>
        </w:rPr>
        <w:t>link</w:t>
      </w:r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diğer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tüm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para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birimlerine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göre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etkin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para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birimidir</w:t>
      </w:r>
      <w:proofErr w:type="spellEnd"/>
      <w:r w:rsidRPr="00697AFA">
        <w:rPr>
          <w:rFonts w:cstheme="minorHAnsi"/>
          <w:sz w:val="16"/>
          <w:szCs w:val="16"/>
          <w:lang w:val="en-US"/>
        </w:rPr>
        <w:t>.</w:t>
      </w:r>
    </w:p>
    <w:p w14:paraId="531A392E" w14:textId="77777777" w:rsidR="00F57AD6" w:rsidRPr="00697AFA" w:rsidRDefault="004F1207" w:rsidP="00697AF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697AFA">
        <w:rPr>
          <w:rFonts w:cstheme="minorHAnsi"/>
          <w:sz w:val="16"/>
          <w:szCs w:val="16"/>
          <w:lang w:val="en-US"/>
        </w:rPr>
        <w:t>link’ten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sonra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en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etkin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para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birimleri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bCs/>
          <w:sz w:val="16"/>
          <w:szCs w:val="16"/>
          <w:lang w:val="en-US"/>
        </w:rPr>
        <w:t>ada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ve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bCs/>
          <w:sz w:val="16"/>
          <w:szCs w:val="16"/>
          <w:lang w:val="en-US"/>
        </w:rPr>
        <w:t>eth</w:t>
      </w:r>
      <w:r w:rsidRPr="00697AFA">
        <w:rPr>
          <w:rFonts w:cstheme="minorHAnsi"/>
          <w:sz w:val="16"/>
          <w:szCs w:val="16"/>
          <w:lang w:val="en-US"/>
        </w:rPr>
        <w:t>’dir</w:t>
      </w:r>
      <w:proofErr w:type="spellEnd"/>
      <w:r w:rsidRPr="00697AFA">
        <w:rPr>
          <w:rFonts w:cstheme="minorHAnsi"/>
          <w:sz w:val="16"/>
          <w:szCs w:val="16"/>
          <w:lang w:val="en-US"/>
        </w:rPr>
        <w:t>.</w:t>
      </w:r>
    </w:p>
    <w:p w14:paraId="30107221" w14:textId="77777777" w:rsidR="00F57AD6" w:rsidRPr="00697AFA" w:rsidRDefault="004F1207" w:rsidP="00697AF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697AFA">
        <w:rPr>
          <w:rFonts w:cstheme="minorHAnsi"/>
          <w:sz w:val="16"/>
          <w:szCs w:val="16"/>
          <w:lang w:val="en-US"/>
        </w:rPr>
        <w:t>Diğer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para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birimlerinin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hiç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birine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karşı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etkinliği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olmayan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bCs/>
          <w:sz w:val="16"/>
          <w:szCs w:val="16"/>
          <w:lang w:val="en-US"/>
        </w:rPr>
        <w:t>usdt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para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birimidir</w:t>
      </w:r>
      <w:proofErr w:type="spellEnd"/>
      <w:r w:rsidRPr="00697AFA">
        <w:rPr>
          <w:rFonts w:cstheme="minorHAnsi"/>
          <w:sz w:val="16"/>
          <w:szCs w:val="16"/>
          <w:lang w:val="en-US"/>
        </w:rPr>
        <w:t>.</w:t>
      </w:r>
    </w:p>
    <w:p w14:paraId="2D8030CA" w14:textId="4D6A3B7E" w:rsidR="00314EAF" w:rsidRPr="008645C1" w:rsidRDefault="004F1207" w:rsidP="00697AFA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697AFA">
        <w:rPr>
          <w:rFonts w:cstheme="minorHAnsi"/>
          <w:sz w:val="16"/>
          <w:szCs w:val="16"/>
          <w:lang w:val="en-US"/>
        </w:rPr>
        <w:t>Kripto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para </w:t>
      </w:r>
      <w:proofErr w:type="spellStart"/>
      <w:r w:rsidRPr="00697AFA">
        <w:rPr>
          <w:rFonts w:cstheme="minorHAnsi"/>
          <w:sz w:val="16"/>
          <w:szCs w:val="16"/>
          <w:lang w:val="en-US"/>
        </w:rPr>
        <w:t>birimleri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bCs/>
          <w:sz w:val="16"/>
          <w:szCs w:val="16"/>
          <w:lang w:val="en-US"/>
        </w:rPr>
        <w:t>yatırım</w:t>
      </w:r>
      <w:proofErr w:type="spellEnd"/>
      <w:r w:rsidRPr="00697AFA">
        <w:rPr>
          <w:rFonts w:cstheme="minorHAnsi"/>
          <w:bCs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bCs/>
          <w:sz w:val="16"/>
          <w:szCs w:val="16"/>
          <w:lang w:val="en-US"/>
        </w:rPr>
        <w:t>aracı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olarak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697AFA">
        <w:rPr>
          <w:rFonts w:cstheme="minorHAnsi"/>
          <w:sz w:val="16"/>
          <w:szCs w:val="16"/>
          <w:lang w:val="en-US"/>
        </w:rPr>
        <w:t>portföye</w:t>
      </w:r>
      <w:proofErr w:type="spellEnd"/>
      <w:r w:rsidRPr="00697AFA">
        <w:rPr>
          <w:rFonts w:cstheme="minorHAnsi"/>
          <w:sz w:val="16"/>
          <w:szCs w:val="16"/>
          <w:lang w:val="en-US"/>
        </w:rPr>
        <w:t xml:space="preserve"> </w:t>
      </w:r>
      <w:proofErr w:type="spellStart"/>
      <w:proofErr w:type="gramStart"/>
      <w:r w:rsidRPr="00697AFA">
        <w:rPr>
          <w:rFonts w:cstheme="minorHAnsi"/>
          <w:sz w:val="16"/>
          <w:szCs w:val="16"/>
          <w:lang w:val="en-US"/>
        </w:rPr>
        <w:t>dahil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etmek</w:t>
      </w:r>
      <w:proofErr w:type="spellEnd"/>
      <w:proofErr w:type="gram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düşünüldüğünde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, </w:t>
      </w:r>
      <w:proofErr w:type="spellStart"/>
      <w:r w:rsidRPr="008645C1">
        <w:rPr>
          <w:rFonts w:cstheme="minorHAnsi"/>
          <w:sz w:val="16"/>
          <w:szCs w:val="16"/>
          <w:lang w:val="en-US"/>
        </w:rPr>
        <w:t>tabloda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elde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edilen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etkinlik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sırasına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göre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etkin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parabirimlerine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öncelik</w:t>
      </w:r>
      <w:proofErr w:type="spellEnd"/>
      <w:r w:rsidRPr="008645C1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8645C1">
        <w:rPr>
          <w:rFonts w:cstheme="minorHAnsi"/>
          <w:sz w:val="16"/>
          <w:szCs w:val="16"/>
          <w:lang w:val="en-US"/>
        </w:rPr>
        <w:t>verilebilir</w:t>
      </w:r>
      <w:proofErr w:type="spellEnd"/>
      <w:r w:rsidRPr="008645C1">
        <w:rPr>
          <w:rFonts w:cstheme="minorHAnsi"/>
          <w:sz w:val="16"/>
          <w:szCs w:val="16"/>
          <w:lang w:val="en-US"/>
        </w:rPr>
        <w:t>.</w:t>
      </w:r>
    </w:p>
    <w:p w14:paraId="5B4DE261" w14:textId="3511DBF3" w:rsidR="00EB6943" w:rsidRPr="00697AFA" w:rsidRDefault="00380137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16"/>
        </w:rPr>
      </w:pPr>
      <w:r w:rsidRPr="00697AFA">
        <w:rPr>
          <w:rFonts w:cstheme="minorHAnsi"/>
          <w:b/>
          <w:sz w:val="20"/>
          <w:szCs w:val="16"/>
          <w:lang w:val="en-GB"/>
        </w:rPr>
        <w:t>KAYNAK</w:t>
      </w:r>
      <w:r w:rsidRPr="00697AFA">
        <w:rPr>
          <w:rFonts w:cstheme="minorHAnsi"/>
          <w:b/>
          <w:sz w:val="20"/>
          <w:szCs w:val="16"/>
        </w:rPr>
        <w:t>ÇA</w:t>
      </w:r>
    </w:p>
    <w:p w14:paraId="04C5F92A" w14:textId="01C1C184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Akkuş, H. T</w:t>
      </w:r>
      <w:proofErr w:type="gramStart"/>
      <w:r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Çelik, İ. (2020). </w:t>
      </w:r>
      <w:proofErr w:type="spellStart"/>
      <w:r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Modeling</w:t>
      </w:r>
      <w:proofErr w:type="spellEnd"/>
      <w:r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</w:t>
      </w:r>
      <w:proofErr w:type="spellStart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forecasting</w:t>
      </w:r>
      <w:proofErr w:type="spellEnd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the</w:t>
      </w:r>
      <w:proofErr w:type="spellEnd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cryptocurrency</w:t>
      </w:r>
      <w:proofErr w:type="spellEnd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market </w:t>
      </w:r>
      <w:proofErr w:type="spellStart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volatility</w:t>
      </w:r>
      <w:proofErr w:type="spellEnd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and </w:t>
      </w:r>
      <w:proofErr w:type="spellStart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value</w:t>
      </w:r>
      <w:proofErr w:type="spellEnd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at risk </w:t>
      </w:r>
      <w:proofErr w:type="spellStart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dynamıcs</w:t>
      </w:r>
      <w:proofErr w:type="spellEnd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of </w:t>
      </w:r>
      <w:proofErr w:type="spellStart"/>
      <w:r w:rsidR="00742E9C"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8645C1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8645C1">
        <w:rPr>
          <w:rFonts w:eastAsiaTheme="minorEastAsia" w:cstheme="minorHAnsi"/>
          <w:i/>
          <w:iCs/>
          <w:color w:val="000000"/>
          <w:sz w:val="16"/>
          <w:szCs w:val="16"/>
          <w:lang w:eastAsia="ja-JP"/>
        </w:rPr>
        <w:t xml:space="preserve">Muhasebe 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Bilim Dünyası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22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(2), 296-312.</w:t>
      </w:r>
    </w:p>
    <w:p w14:paraId="729E3E3E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Atıcı, G. (2020). Dijital Ekonomi,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Blokzinciri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ve Finansal Sistem, Nobel Akademik Yayıncılık, 1. Basım.</w:t>
      </w:r>
    </w:p>
    <w:p w14:paraId="3BC6B9CC" w14:textId="51CFDE9E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Azimov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J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Alkan, U. (2019).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fiyatları ile 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Çin Ve Rusya’nın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seçilmiş finansal göstergeleri arasındaki ilişkinin </w:t>
      </w:r>
      <w:proofErr w:type="spell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ekonometrik</w:t>
      </w:r>
      <w:proofErr w:type="spell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açıdan incelenme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si.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Avrasya Sosyal ve Ekonomi Araştırmaları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6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(10), 165-187.</w:t>
      </w:r>
    </w:p>
    <w:p w14:paraId="51D2A8E4" w14:textId="694F19CB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Bartos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J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(2015).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Does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follow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hypothesis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of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efficient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market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?.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International Journal of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Economic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Sciences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4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(2), 10-23. </w:t>
      </w:r>
    </w:p>
    <w:p w14:paraId="66EA6DD6" w14:textId="7538AA6D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Bouri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E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Lucey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B.,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Roubaud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D.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,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(2020).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Cryptocurrencies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and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downside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risk in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equity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investments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Finance Research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Letters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33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101211.</w:t>
      </w:r>
    </w:p>
    <w:p w14:paraId="4A84A733" w14:textId="70AF4CE9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Chakravarty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S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Sarkar, P.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,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(2020).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An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Introduction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to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Algorithmic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Finance,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Algorithmic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Trading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and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Blockchain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Emerald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Group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Publishing.</w:t>
      </w:r>
    </w:p>
    <w:p w14:paraId="5E0F1E0D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CoinMarketCap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[Çevrimiçi kaynak]. https://coinmarketcap.com/ [Erişim tarihi: 26 Eylül 2020].</w:t>
      </w:r>
    </w:p>
    <w:p w14:paraId="0500C05A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Dyhrberg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A.H. (2016).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gold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and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dollar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—A GARCH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volatility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analysis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. 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Finance Research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Letters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16, 85–92.</w:t>
      </w:r>
    </w:p>
    <w:p w14:paraId="08DFF831" w14:textId="0298ED63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Ertuğrul, M. (2019). Kripto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paraların </w:t>
      </w:r>
      <w:proofErr w:type="gram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volatilite</w:t>
      </w:r>
      <w:proofErr w:type="gram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dinamiklerinin incelenmesi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: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GARCH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modelleri üzerine bir uyg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ulama.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Yönetim ve Ekonomi Araştırmaları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17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(4), 59-71.</w:t>
      </w:r>
    </w:p>
    <w:p w14:paraId="13412BD2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Gkillas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K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Katsiampa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P. (2018). An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application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of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extreme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value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theory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to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cryptocurrencies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Economics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Letters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164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109-111.</w:t>
      </w:r>
    </w:p>
    <w:p w14:paraId="79831B19" w14:textId="796BE2CA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Güleç, Ö. F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Çevik, E. &amp; Bahadır, N. (2018).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ile finansal göstergeler arasındaki ilişkinin incelenmesi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Kırklareli Üniversitesi İktisadi ve İdari Bilimler Fakültesi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7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(2), 18-37.</w:t>
      </w:r>
    </w:p>
    <w:p w14:paraId="35B394BB" w14:textId="6781B58D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Güleç, T. C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Aktaş, H. (2019). Kripto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para birimi piyasalarında etkinliğin uzun hafıza ve değişen </w:t>
      </w:r>
      <w:proofErr w:type="spell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varyans</w:t>
      </w:r>
      <w:proofErr w:type="spell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özelliklerinin testi yoluyla anal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izi. Eskişehir Osmangazi Üniversitesi İktisadi ve İdari Bilimler Dergisi, 14(2), 491-510.</w:t>
      </w:r>
    </w:p>
    <w:p w14:paraId="455D8D25" w14:textId="3C4D0EC5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Jiménez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I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Mora-Valencia, A., &amp; </w:t>
      </w:r>
      <w:proofErr w:type="spellStart"/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Perote</w:t>
      </w:r>
      <w:proofErr w:type="spellEnd"/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J., 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(2020). Risk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quantification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and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validation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for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Operations Research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Letters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48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(4), 534-541.</w:t>
      </w:r>
    </w:p>
    <w:p w14:paraId="30FC9BA9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Jorion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P. (2000). Value At Risk,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New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Benchmark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for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Managing Financial Risk, New York, Second Edition,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McGraw-Hill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</w:t>
      </w:r>
    </w:p>
    <w:p w14:paraId="65EC665A" w14:textId="0501FF34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Kanat, E.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Öget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E. (2018).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ile Türkiye ve G7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ülke borsaları arasındaki uzun ve kısa dönemli ilişkilerin incelenmesi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Finans Ekonomi ve Sosyal Araştırmalar Dergisi (FESA)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3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(3), 601-614.</w:t>
      </w:r>
    </w:p>
    <w:p w14:paraId="391F813C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Karaağaç, G. A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Altınırmak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S. (2018). En yüksek piyasa değerine sahip on 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kripto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paranın birbirleriyle etkileşimi.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Muhasebe ve Finansman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(79), 123-138.</w:t>
      </w:r>
    </w:p>
    <w:p w14:paraId="08AD9BEA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Katsiampa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P. (2017).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Volatility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estimation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for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: A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comparison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of GARCH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models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Economics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Letters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158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3-6.</w:t>
      </w:r>
    </w:p>
    <w:p w14:paraId="07430D91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Katsiampa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P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Corbet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S.,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Lucey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B. (2019).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Volatility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spillover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effects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in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leading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cryptocurrencies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: A BEKK-MGARCH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analysis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Finance Research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Letters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29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68-74.</w:t>
      </w:r>
    </w:p>
    <w:p w14:paraId="326C37F0" w14:textId="3F4AA3B2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lastRenderedPageBreak/>
        <w:t xml:space="preserve">Kayral, İ. E. (2020). En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yüksek piyasa değerine sahip üç </w:t>
      </w:r>
      <w:proofErr w:type="gram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kripto</w:t>
      </w:r>
      <w:proofErr w:type="gram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paranın volatilitelerinin tahmin edilmesi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Journal of</w:t>
      </w:r>
      <w:r w:rsid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Financial </w:t>
      </w:r>
      <w:proofErr w:type="spellStart"/>
      <w:r w:rsid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Researches</w:t>
      </w:r>
      <w:proofErr w:type="spellEnd"/>
      <w:r w:rsid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&amp; </w:t>
      </w:r>
      <w:proofErr w:type="spellStart"/>
      <w:r w:rsid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Studies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11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(22), 167-178.</w:t>
      </w:r>
    </w:p>
    <w:p w14:paraId="7CAAB7DE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Kılıç, Y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Çütcü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İ. (2018).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fiyatları ile borsa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istanbul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endeksi arasındaki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eşbütünleşme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ve nedensellik ilişkisi.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Eskişehir Osmangazi Üniversitesi İktisadi ve İdari Bilimler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13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(3), 235-250.</w:t>
      </w:r>
    </w:p>
    <w:p w14:paraId="3C5CBD01" w14:textId="4C65C219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Konuşkan, A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Teker, T.,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Ömürbek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V.,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Bekci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İ. (2019). </w:t>
      </w:r>
      <w:proofErr w:type="gram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kripto</w:t>
      </w:r>
      <w:proofErr w:type="gram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paraların fiyatları arasındaki ilişkinin tespitine yönelik bir araştırma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Suleyman Demirel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University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Journal of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Faculty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of Economics &amp;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Administrative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Sciences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24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(2), 89-99.</w:t>
      </w:r>
    </w:p>
    <w:p w14:paraId="4CCBA4DB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Koutmos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D. (2019). Market risk and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returns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Annals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of Operations Research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1-25. https://doi.org/10.1007/s10479-019-03255-6.</w:t>
      </w:r>
    </w:p>
    <w:p w14:paraId="3B804910" w14:textId="6FED65CB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Kuzu, S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Çelik, İ. E. (2020).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alternatif yatırım aracı ya da </w:t>
      </w:r>
      <w:proofErr w:type="spell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hedge</w:t>
      </w:r>
      <w:proofErr w:type="spell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enstrümanı olarak düşünülebilir 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mi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?.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Anemon Muş Alparslan Üniversitesi Sosyal Bilimler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8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(2), 603-613.</w:t>
      </w:r>
    </w:p>
    <w:p w14:paraId="1906A64C" w14:textId="4EC96841" w:rsidR="0047039F" w:rsidRPr="00742E9C" w:rsidRDefault="0047039F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16"/>
          <w:szCs w:val="16"/>
          <w:bdr w:val="none" w:sz="0" w:space="0" w:color="auto" w:frame="1"/>
        </w:rPr>
      </w:pPr>
      <w:proofErr w:type="spellStart"/>
      <w:r w:rsidRPr="00742E9C">
        <w:rPr>
          <w:rFonts w:cstheme="minorHAnsi"/>
          <w:sz w:val="16"/>
          <w:szCs w:val="16"/>
          <w:bdr w:val="none" w:sz="0" w:space="0" w:color="auto" w:frame="1"/>
        </w:rPr>
        <w:t>Levy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 xml:space="preserve">, H. (1992). </w:t>
      </w:r>
      <w:proofErr w:type="spellStart"/>
      <w:r w:rsidRPr="00742E9C">
        <w:rPr>
          <w:rFonts w:cstheme="minorHAnsi"/>
          <w:sz w:val="16"/>
          <w:szCs w:val="16"/>
          <w:bdr w:val="none" w:sz="0" w:space="0" w:color="auto" w:frame="1"/>
        </w:rPr>
        <w:t>Stochastic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42E9C">
        <w:rPr>
          <w:rFonts w:cstheme="minorHAnsi"/>
          <w:sz w:val="16"/>
          <w:szCs w:val="16"/>
          <w:bdr w:val="none" w:sz="0" w:space="0" w:color="auto" w:frame="1"/>
        </w:rPr>
        <w:t>dominance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 xml:space="preserve"> and </w:t>
      </w:r>
      <w:proofErr w:type="spellStart"/>
      <w:r w:rsidRPr="00742E9C">
        <w:rPr>
          <w:rFonts w:cstheme="minorHAnsi"/>
          <w:sz w:val="16"/>
          <w:szCs w:val="16"/>
          <w:bdr w:val="none" w:sz="0" w:space="0" w:color="auto" w:frame="1"/>
        </w:rPr>
        <w:t>expected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42E9C">
        <w:rPr>
          <w:rFonts w:cstheme="minorHAnsi"/>
          <w:sz w:val="16"/>
          <w:szCs w:val="16"/>
          <w:bdr w:val="none" w:sz="0" w:space="0" w:color="auto" w:frame="1"/>
        </w:rPr>
        <w:t>utility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 xml:space="preserve">: </w:t>
      </w:r>
      <w:proofErr w:type="spellStart"/>
      <w:r w:rsidRPr="00742E9C">
        <w:rPr>
          <w:rFonts w:cstheme="minorHAnsi"/>
          <w:sz w:val="16"/>
          <w:szCs w:val="16"/>
          <w:bdr w:val="none" w:sz="0" w:space="0" w:color="auto" w:frame="1"/>
        </w:rPr>
        <w:t>survey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 xml:space="preserve"> and </w:t>
      </w:r>
      <w:proofErr w:type="spellStart"/>
      <w:r w:rsidRPr="00742E9C">
        <w:rPr>
          <w:rFonts w:cstheme="minorHAnsi"/>
          <w:sz w:val="16"/>
          <w:szCs w:val="16"/>
          <w:bdr w:val="none" w:sz="0" w:space="0" w:color="auto" w:frame="1"/>
        </w:rPr>
        <w:t>analysis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>. </w:t>
      </w:r>
      <w:r w:rsidRPr="00742E9C">
        <w:rPr>
          <w:rFonts w:cstheme="minorHAnsi"/>
          <w:iCs/>
          <w:sz w:val="16"/>
          <w:szCs w:val="16"/>
          <w:bdr w:val="none" w:sz="0" w:space="0" w:color="auto" w:frame="1"/>
        </w:rPr>
        <w:t xml:space="preserve">Management </w:t>
      </w:r>
      <w:proofErr w:type="spellStart"/>
      <w:r w:rsidR="00742E9C">
        <w:rPr>
          <w:rFonts w:cstheme="minorHAnsi"/>
          <w:iCs/>
          <w:sz w:val="16"/>
          <w:szCs w:val="16"/>
          <w:bdr w:val="none" w:sz="0" w:space="0" w:color="auto" w:frame="1"/>
        </w:rPr>
        <w:t>S</w:t>
      </w:r>
      <w:r w:rsidRPr="00742E9C">
        <w:rPr>
          <w:rFonts w:cstheme="minorHAnsi"/>
          <w:iCs/>
          <w:sz w:val="16"/>
          <w:szCs w:val="16"/>
          <w:bdr w:val="none" w:sz="0" w:space="0" w:color="auto" w:frame="1"/>
        </w:rPr>
        <w:t>cience</w:t>
      </w:r>
      <w:proofErr w:type="spellEnd"/>
      <w:r w:rsidRPr="00742E9C">
        <w:rPr>
          <w:rFonts w:cstheme="minorHAnsi"/>
          <w:sz w:val="16"/>
          <w:szCs w:val="16"/>
          <w:bdr w:val="none" w:sz="0" w:space="0" w:color="auto" w:frame="1"/>
        </w:rPr>
        <w:t>, </w:t>
      </w:r>
      <w:r w:rsidRPr="00742E9C">
        <w:rPr>
          <w:rFonts w:cstheme="minorHAnsi"/>
          <w:iCs/>
          <w:sz w:val="16"/>
          <w:szCs w:val="16"/>
          <w:bdr w:val="none" w:sz="0" w:space="0" w:color="auto" w:frame="1"/>
        </w:rPr>
        <w:t>38</w:t>
      </w:r>
      <w:r w:rsidRPr="00742E9C">
        <w:rPr>
          <w:rFonts w:cstheme="minorHAnsi"/>
          <w:sz w:val="16"/>
          <w:szCs w:val="16"/>
          <w:bdr w:val="none" w:sz="0" w:space="0" w:color="auto" w:frame="1"/>
        </w:rPr>
        <w:t>(4), 555-593.</w:t>
      </w:r>
    </w:p>
    <w:p w14:paraId="437FCD0B" w14:textId="20CDFA43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Likitratcharoen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D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Ranong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T. N.,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Chuengsuksomboon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R.,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Sritanee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N.,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Pansriwong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A. (2018). Value at risk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performance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in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cryptocurrencies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Journal of Risk Management and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Insurance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22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(1), 11-28.</w:t>
      </w:r>
    </w:p>
    <w:p w14:paraId="18E9FDDC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Osterrieder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J.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Lorenz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J. (2017). A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statistical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risk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assessment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of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and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its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extreme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tail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behavior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Annals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of Financial Economics, 12 (01), 1750003.</w:t>
      </w:r>
    </w:p>
    <w:p w14:paraId="63BC92BF" w14:textId="681AE86A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Phillip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A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Chan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J.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Peiris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S. (2018). A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new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look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at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cry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ptocurrencies</w:t>
      </w:r>
      <w:proofErr w:type="spellEnd"/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. </w:t>
      </w:r>
      <w:proofErr w:type="spellStart"/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Economic</w:t>
      </w:r>
      <w:proofErr w:type="spellEnd"/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>Letters</w:t>
      </w:r>
      <w:proofErr w:type="spellEnd"/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163, 6–9.</w:t>
      </w:r>
    </w:p>
    <w:p w14:paraId="5456A192" w14:textId="45BFDD3A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Platanakis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E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Urquhart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A. (2020).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Should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investors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include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in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their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portfolios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? A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portfolio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theory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approach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British Accounting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Review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52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(4), 100837.</w:t>
      </w:r>
    </w:p>
    <w:p w14:paraId="6C96C512" w14:textId="75FC95FA" w:rsidR="0047039F" w:rsidRPr="00742E9C" w:rsidRDefault="0047039F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Rockafellar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R. T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Uryasev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S. (2002).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Conditional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value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-at-risk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for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general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loss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distributions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Journal of </w:t>
      </w:r>
      <w:proofErr w:type="spellStart"/>
      <w:r w:rsid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Banking</w:t>
      </w:r>
      <w:proofErr w:type="spellEnd"/>
      <w:r w:rsid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&amp; F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inance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26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(7), 1443-1471.</w:t>
      </w:r>
    </w:p>
    <w:p w14:paraId="1A81455E" w14:textId="2CCCCA1D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Silahli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 B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Dingec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K. D.,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Cifter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A., &amp; Aydin, N. (2019). Portfolio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value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-at-risk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with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two-sided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Weibull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distribution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: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Evidence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from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cryptocurrency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markets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Finance Research 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Letters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</w:t>
      </w:r>
      <w:r w:rsid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11(3), 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101425.</w:t>
      </w:r>
    </w:p>
    <w:p w14:paraId="6C4EED21" w14:textId="7CBE1C2B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Songur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M. (2019).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piyasasında balonlar: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Genelleştirilmiş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Eküs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ADF Testi.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Anemon Muş Alparslan Üniversitesi Sosyal Bilimler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7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(6), 187-192.</w:t>
      </w:r>
    </w:p>
    <w:p w14:paraId="2AEBFDDB" w14:textId="77777777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Stavroyiannis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S. (2018). Value-at-risk and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related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measures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for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proofErr w:type="spellStart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The</w:t>
      </w:r>
      <w:proofErr w:type="spellEnd"/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 xml:space="preserve"> Journal of Risk Finance, 19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(2), 127-136.</w:t>
      </w:r>
    </w:p>
    <w:p w14:paraId="02F0FD6E" w14:textId="35AFF39A" w:rsidR="0047039F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Şahin, E. E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Özkan, O. (2018). Asimetrik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volatilitenin tahmini: </w:t>
      </w:r>
      <w:proofErr w:type="gram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kripto</w:t>
      </w:r>
      <w:proofErr w:type="gram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para </w:t>
      </w:r>
      <w:proofErr w:type="spell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uygulaması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Bilecik Şeyh Edebali Üniversitesi Sosyal Bilimler Enstitüsü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3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(2), 240-247.</w:t>
      </w:r>
    </w:p>
    <w:p w14:paraId="3E21615B" w14:textId="75DAF193" w:rsidR="00D90E7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Uyar, U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Kelten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, G. S., &amp; Moralı, T. (2020). Yatırımcılar için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teknik analiz: </w:t>
      </w:r>
      <w:proofErr w:type="spell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ve </w:t>
      </w:r>
      <w:proofErr w:type="spell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ethereum</w:t>
      </w:r>
      <w:proofErr w:type="spell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uygulamaları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Finansal Araştırmalar ve Çalışmalar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12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(23), 669-687.</w:t>
      </w:r>
    </w:p>
    <w:p w14:paraId="318901C7" w14:textId="66782172" w:rsidR="00A94105" w:rsidRPr="00742E9C" w:rsidRDefault="00D90E75" w:rsidP="00697AF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theme="minorHAnsi"/>
          <w:color w:val="000000"/>
          <w:sz w:val="16"/>
          <w:szCs w:val="16"/>
          <w:lang w:val="en-GB" w:eastAsia="ja-JP"/>
        </w:rPr>
      </w:pP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Yağmur, A</w:t>
      </w:r>
      <w:proofErr w:type="gram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.,</w:t>
      </w:r>
      <w:proofErr w:type="gram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&amp; Mangır, F. (2020). </w:t>
      </w:r>
      <w:proofErr w:type="spellStart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Bitcoin</w:t>
      </w:r>
      <w:proofErr w:type="spellEnd"/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</w:t>
      </w:r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piyasasında </w:t>
      </w:r>
      <w:proofErr w:type="spellStart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rassal</w:t>
      </w:r>
      <w:proofErr w:type="spellEnd"/>
      <w:r w:rsidR="00742E9C"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 xml:space="preserve"> yürüyüş hipotezi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.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Yönetim ve Ekonomi Araştırmaları Dergisi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, </w:t>
      </w:r>
      <w:r w:rsidRPr="00742E9C">
        <w:rPr>
          <w:rFonts w:eastAsiaTheme="minorEastAsia" w:cstheme="minorHAnsi"/>
          <w:iCs/>
          <w:color w:val="000000"/>
          <w:sz w:val="16"/>
          <w:szCs w:val="16"/>
          <w:lang w:eastAsia="ja-JP"/>
        </w:rPr>
        <w:t>18</w:t>
      </w:r>
      <w:r w:rsidRPr="00742E9C">
        <w:rPr>
          <w:rFonts w:eastAsiaTheme="minorEastAsia" w:cstheme="minorHAnsi"/>
          <w:color w:val="000000"/>
          <w:sz w:val="16"/>
          <w:szCs w:val="16"/>
          <w:lang w:eastAsia="ja-JP"/>
        </w:rPr>
        <w:t>(2), 161-175.</w:t>
      </w:r>
    </w:p>
    <w:sectPr w:rsidR="00A94105" w:rsidRPr="00742E9C" w:rsidSect="00742E9C">
      <w:headerReference w:type="default" r:id="rId10"/>
      <w:footerReference w:type="default" r:id="rId11"/>
      <w:pgSz w:w="11906" w:h="16838"/>
      <w:pgMar w:top="2126" w:right="1418" w:bottom="184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CA42" w14:textId="77777777" w:rsidR="00326309" w:rsidRDefault="00326309" w:rsidP="00A5766E">
      <w:pPr>
        <w:spacing w:after="0" w:line="240" w:lineRule="auto"/>
      </w:pPr>
      <w:r>
        <w:separator/>
      </w:r>
    </w:p>
  </w:endnote>
  <w:endnote w:type="continuationSeparator" w:id="0">
    <w:p w14:paraId="60931EFB" w14:textId="77777777" w:rsidR="00326309" w:rsidRDefault="00326309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3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3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11AEBD7A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</w:t>
    </w:r>
    <w:r w:rsidR="00742E9C">
      <w:rPr>
        <w:rFonts w:ascii="Calibri" w:eastAsia="Calibri" w:hAnsi="Calibri" w:cs="Times New Roman"/>
        <w:i/>
        <w:sz w:val="18"/>
        <w:szCs w:val="18"/>
      </w:rPr>
      <w:t>2</w:t>
    </w:r>
    <w:proofErr w:type="gramStart"/>
    <w:r>
      <w:rPr>
        <w:rFonts w:ascii="Calibri" w:eastAsia="Calibri" w:hAnsi="Calibri" w:cs="Times New Roman"/>
        <w:i/>
        <w:sz w:val="18"/>
        <w:szCs w:val="18"/>
      </w:rPr>
      <w:t>…..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742E9C">
      <w:rPr>
        <w:rFonts w:ascii="Calibri" w:eastAsia="Calibri" w:hAnsi="Calibri" w:cs="Times New Roman"/>
        <w:i/>
        <w:noProof/>
        <w:sz w:val="18"/>
        <w:szCs w:val="18"/>
      </w:rPr>
      <w:t>1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</w:t>
    </w:r>
    <w:r w:rsidR="007A2296">
      <w:rPr>
        <w:rFonts w:ascii="Calibri" w:eastAsia="Calibri" w:hAnsi="Calibri" w:cs="Times New Roman"/>
        <w:i/>
        <w:sz w:val="18"/>
        <w:szCs w:val="18"/>
      </w:rPr>
      <w:t xml:space="preserve">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PressAcademia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Footer"/>
    </w:pPr>
  </w:p>
  <w:p w14:paraId="01253BCE" w14:textId="77777777" w:rsidR="008509C3" w:rsidRDefault="008509C3">
    <w:pPr>
      <w:pStyle w:val="Footer"/>
    </w:pPr>
  </w:p>
  <w:p w14:paraId="627F7D11" w14:textId="77777777" w:rsidR="008509C3" w:rsidRDefault="0085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C512" w14:textId="77777777" w:rsidR="00326309" w:rsidRDefault="00326309" w:rsidP="00A5766E">
      <w:pPr>
        <w:spacing w:after="0" w:line="240" w:lineRule="auto"/>
      </w:pPr>
      <w:r>
        <w:separator/>
      </w:r>
    </w:p>
  </w:footnote>
  <w:footnote w:type="continuationSeparator" w:id="0">
    <w:p w14:paraId="2978148A" w14:textId="77777777" w:rsidR="00326309" w:rsidRDefault="00326309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026CD667" w:rsidR="008509C3" w:rsidRPr="00E707F4" w:rsidRDefault="007C71BE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742E9C"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h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(IFC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- 202</w:t>
    </w:r>
    <w:r w:rsidR="00742E9C">
      <w:rPr>
        <w:rFonts w:asciiTheme="minorHAnsi" w:hAnsiTheme="minorHAnsi"/>
        <w:i/>
        <w:sz w:val="18"/>
        <w:szCs w:val="18"/>
        <w:u w:val="single"/>
        <w:lang w:val="tr-TR"/>
      </w:rPr>
      <w:t>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742E9C">
      <w:rPr>
        <w:rFonts w:asciiTheme="minorHAnsi" w:hAnsiTheme="minorHAnsi"/>
        <w:i/>
        <w:sz w:val="18"/>
        <w:szCs w:val="18"/>
        <w:u w:val="single"/>
        <w:lang w:val="tr-TR"/>
      </w:rPr>
      <w:t>6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-p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.        </w:t>
    </w:r>
    <w:r w:rsidR="007A2296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</w:t>
    </w:r>
    <w:r w:rsidR="007A2296">
      <w:rPr>
        <w:rFonts w:asciiTheme="minorHAnsi" w:hAnsiTheme="minorHAnsi"/>
        <w:i/>
        <w:sz w:val="18"/>
        <w:szCs w:val="18"/>
        <w:u w:val="single"/>
        <w:lang w:val="tr-TR"/>
      </w:rPr>
      <w:t>Kececi</w:t>
    </w:r>
  </w:p>
  <w:p w14:paraId="293BF9E9" w14:textId="77777777" w:rsidR="008509C3" w:rsidRDefault="00850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2C4"/>
    <w:multiLevelType w:val="hybridMultilevel"/>
    <w:tmpl w:val="D04A3A8C"/>
    <w:lvl w:ilvl="0" w:tplc="94840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91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81F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B2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2F0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A3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671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221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03C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06B"/>
    <w:multiLevelType w:val="hybridMultilevel"/>
    <w:tmpl w:val="6F5C9246"/>
    <w:lvl w:ilvl="0" w:tplc="03EEFA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E5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604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0B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EB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E32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E81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6F8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ACA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EC5"/>
    <w:multiLevelType w:val="hybridMultilevel"/>
    <w:tmpl w:val="A40A86A2"/>
    <w:lvl w:ilvl="0" w:tplc="83C25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44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291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470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EB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4E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2E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619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CD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E372F"/>
    <w:multiLevelType w:val="hybridMultilevel"/>
    <w:tmpl w:val="9182B1D2"/>
    <w:lvl w:ilvl="0" w:tplc="35DC92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F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009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C92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CD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A1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A11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271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86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34694"/>
    <w:multiLevelType w:val="hybridMultilevel"/>
    <w:tmpl w:val="B956C6BC"/>
    <w:lvl w:ilvl="0" w:tplc="9DE016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0F3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CC1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AAC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06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4A1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45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5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6B1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15714"/>
    <w:rsid w:val="000224FF"/>
    <w:rsid w:val="00053BB0"/>
    <w:rsid w:val="00057B32"/>
    <w:rsid w:val="000600E4"/>
    <w:rsid w:val="00082E34"/>
    <w:rsid w:val="000C5587"/>
    <w:rsid w:val="000D0042"/>
    <w:rsid w:val="000D6662"/>
    <w:rsid w:val="000F13C1"/>
    <w:rsid w:val="00105BD0"/>
    <w:rsid w:val="00111E97"/>
    <w:rsid w:val="001124D4"/>
    <w:rsid w:val="00152400"/>
    <w:rsid w:val="00185538"/>
    <w:rsid w:val="00191851"/>
    <w:rsid w:val="0019674B"/>
    <w:rsid w:val="001A1770"/>
    <w:rsid w:val="001A5D2C"/>
    <w:rsid w:val="001C07D0"/>
    <w:rsid w:val="001C4F4B"/>
    <w:rsid w:val="001D0061"/>
    <w:rsid w:val="00204648"/>
    <w:rsid w:val="002106C5"/>
    <w:rsid w:val="00212588"/>
    <w:rsid w:val="00220F51"/>
    <w:rsid w:val="002367E1"/>
    <w:rsid w:val="00263B74"/>
    <w:rsid w:val="00264AB5"/>
    <w:rsid w:val="00266004"/>
    <w:rsid w:val="00281933"/>
    <w:rsid w:val="0028621F"/>
    <w:rsid w:val="00286F6D"/>
    <w:rsid w:val="00295C2F"/>
    <w:rsid w:val="002B2409"/>
    <w:rsid w:val="002B4173"/>
    <w:rsid w:val="002C206C"/>
    <w:rsid w:val="002D11A3"/>
    <w:rsid w:val="00311480"/>
    <w:rsid w:val="00313F6E"/>
    <w:rsid w:val="00314EAF"/>
    <w:rsid w:val="00316164"/>
    <w:rsid w:val="00326309"/>
    <w:rsid w:val="00341878"/>
    <w:rsid w:val="00360598"/>
    <w:rsid w:val="00380137"/>
    <w:rsid w:val="003B179D"/>
    <w:rsid w:val="003F4DFC"/>
    <w:rsid w:val="00406D0B"/>
    <w:rsid w:val="0041771F"/>
    <w:rsid w:val="004338B0"/>
    <w:rsid w:val="00451651"/>
    <w:rsid w:val="00454B33"/>
    <w:rsid w:val="00454EE4"/>
    <w:rsid w:val="00460CEF"/>
    <w:rsid w:val="0047039F"/>
    <w:rsid w:val="00476273"/>
    <w:rsid w:val="00476943"/>
    <w:rsid w:val="004B3138"/>
    <w:rsid w:val="004B6953"/>
    <w:rsid w:val="004E7301"/>
    <w:rsid w:val="004F1207"/>
    <w:rsid w:val="005023B0"/>
    <w:rsid w:val="00504A8E"/>
    <w:rsid w:val="00525BA7"/>
    <w:rsid w:val="00540794"/>
    <w:rsid w:val="00556AA9"/>
    <w:rsid w:val="00577F0D"/>
    <w:rsid w:val="00591A78"/>
    <w:rsid w:val="00592D67"/>
    <w:rsid w:val="005967E6"/>
    <w:rsid w:val="005B0E94"/>
    <w:rsid w:val="005B6B79"/>
    <w:rsid w:val="005C23C4"/>
    <w:rsid w:val="005C69D2"/>
    <w:rsid w:val="005D4ACD"/>
    <w:rsid w:val="005D6DBD"/>
    <w:rsid w:val="00600CF2"/>
    <w:rsid w:val="006102C2"/>
    <w:rsid w:val="00613C42"/>
    <w:rsid w:val="00624C20"/>
    <w:rsid w:val="00647747"/>
    <w:rsid w:val="00652B24"/>
    <w:rsid w:val="0065307D"/>
    <w:rsid w:val="006562F9"/>
    <w:rsid w:val="006602CB"/>
    <w:rsid w:val="00660354"/>
    <w:rsid w:val="00664D1B"/>
    <w:rsid w:val="0066651C"/>
    <w:rsid w:val="0066703B"/>
    <w:rsid w:val="00670C34"/>
    <w:rsid w:val="006837A4"/>
    <w:rsid w:val="00697AFA"/>
    <w:rsid w:val="006B08F2"/>
    <w:rsid w:val="006B2662"/>
    <w:rsid w:val="006C50CA"/>
    <w:rsid w:val="006D56E9"/>
    <w:rsid w:val="006E762E"/>
    <w:rsid w:val="006F201D"/>
    <w:rsid w:val="007125C3"/>
    <w:rsid w:val="007148FD"/>
    <w:rsid w:val="007202C2"/>
    <w:rsid w:val="007275DC"/>
    <w:rsid w:val="00732A30"/>
    <w:rsid w:val="00742E9C"/>
    <w:rsid w:val="00747E18"/>
    <w:rsid w:val="00762FB0"/>
    <w:rsid w:val="00777748"/>
    <w:rsid w:val="00783B62"/>
    <w:rsid w:val="007A2296"/>
    <w:rsid w:val="007C71BE"/>
    <w:rsid w:val="007F4161"/>
    <w:rsid w:val="007F6669"/>
    <w:rsid w:val="007F6987"/>
    <w:rsid w:val="00821A12"/>
    <w:rsid w:val="00843B28"/>
    <w:rsid w:val="008509C3"/>
    <w:rsid w:val="00853C0E"/>
    <w:rsid w:val="008544EE"/>
    <w:rsid w:val="008627A8"/>
    <w:rsid w:val="008645C1"/>
    <w:rsid w:val="00895475"/>
    <w:rsid w:val="008D1DCF"/>
    <w:rsid w:val="008F0584"/>
    <w:rsid w:val="008F122F"/>
    <w:rsid w:val="008F7685"/>
    <w:rsid w:val="00904F0B"/>
    <w:rsid w:val="009055BA"/>
    <w:rsid w:val="009158F9"/>
    <w:rsid w:val="00925DF1"/>
    <w:rsid w:val="009333B9"/>
    <w:rsid w:val="00936503"/>
    <w:rsid w:val="0094473B"/>
    <w:rsid w:val="009544F8"/>
    <w:rsid w:val="00955485"/>
    <w:rsid w:val="0098574C"/>
    <w:rsid w:val="009B3A08"/>
    <w:rsid w:val="009B42AD"/>
    <w:rsid w:val="009C6FFB"/>
    <w:rsid w:val="009D36D7"/>
    <w:rsid w:val="009D5F12"/>
    <w:rsid w:val="009E018B"/>
    <w:rsid w:val="009E25B0"/>
    <w:rsid w:val="00A02F72"/>
    <w:rsid w:val="00A13013"/>
    <w:rsid w:val="00A33349"/>
    <w:rsid w:val="00A371A3"/>
    <w:rsid w:val="00A555FF"/>
    <w:rsid w:val="00A5766E"/>
    <w:rsid w:val="00A679B4"/>
    <w:rsid w:val="00A81B08"/>
    <w:rsid w:val="00A838D2"/>
    <w:rsid w:val="00A860CE"/>
    <w:rsid w:val="00A94105"/>
    <w:rsid w:val="00AB0D03"/>
    <w:rsid w:val="00AC27F3"/>
    <w:rsid w:val="00AD529B"/>
    <w:rsid w:val="00B424C8"/>
    <w:rsid w:val="00BA3959"/>
    <w:rsid w:val="00BB0E7B"/>
    <w:rsid w:val="00BB193F"/>
    <w:rsid w:val="00BE0002"/>
    <w:rsid w:val="00C04816"/>
    <w:rsid w:val="00C1566F"/>
    <w:rsid w:val="00C20018"/>
    <w:rsid w:val="00C20BBD"/>
    <w:rsid w:val="00C23BBB"/>
    <w:rsid w:val="00C41C29"/>
    <w:rsid w:val="00C47153"/>
    <w:rsid w:val="00C661B8"/>
    <w:rsid w:val="00C80A7C"/>
    <w:rsid w:val="00C90E62"/>
    <w:rsid w:val="00C94CBA"/>
    <w:rsid w:val="00CA113B"/>
    <w:rsid w:val="00CA1651"/>
    <w:rsid w:val="00CC2E5E"/>
    <w:rsid w:val="00CD1037"/>
    <w:rsid w:val="00D00B3E"/>
    <w:rsid w:val="00D17142"/>
    <w:rsid w:val="00D26ACF"/>
    <w:rsid w:val="00D32F9C"/>
    <w:rsid w:val="00D33370"/>
    <w:rsid w:val="00D338ED"/>
    <w:rsid w:val="00D4469E"/>
    <w:rsid w:val="00D54333"/>
    <w:rsid w:val="00D90E75"/>
    <w:rsid w:val="00D91DCA"/>
    <w:rsid w:val="00D97B73"/>
    <w:rsid w:val="00DA10C7"/>
    <w:rsid w:val="00DB09E6"/>
    <w:rsid w:val="00DD68F9"/>
    <w:rsid w:val="00DF4A9E"/>
    <w:rsid w:val="00E04C88"/>
    <w:rsid w:val="00E12EE5"/>
    <w:rsid w:val="00E2014F"/>
    <w:rsid w:val="00E37880"/>
    <w:rsid w:val="00E4166A"/>
    <w:rsid w:val="00E50FC5"/>
    <w:rsid w:val="00E61416"/>
    <w:rsid w:val="00E75C4C"/>
    <w:rsid w:val="00EB6943"/>
    <w:rsid w:val="00EB74E9"/>
    <w:rsid w:val="00EC005C"/>
    <w:rsid w:val="00EC1A25"/>
    <w:rsid w:val="00EC505B"/>
    <w:rsid w:val="00EE5A1C"/>
    <w:rsid w:val="00F0241D"/>
    <w:rsid w:val="00F107C3"/>
    <w:rsid w:val="00F14214"/>
    <w:rsid w:val="00F170C4"/>
    <w:rsid w:val="00F32495"/>
    <w:rsid w:val="00F3317C"/>
    <w:rsid w:val="00F56AA9"/>
    <w:rsid w:val="00F57AD6"/>
    <w:rsid w:val="00F970D7"/>
    <w:rsid w:val="00FA5781"/>
    <w:rsid w:val="00FD430C"/>
    <w:rsid w:val="00FE60C9"/>
    <w:rsid w:val="00FF1BA5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DefaultParagraphFont"/>
    <w:rsid w:val="00F3317C"/>
  </w:style>
  <w:style w:type="character" w:styleId="Emphasis">
    <w:name w:val="Emphasis"/>
    <w:basedOn w:val="DefaultParagraphFont"/>
    <w:uiPriority w:val="20"/>
    <w:qFormat/>
    <w:rsid w:val="00F33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2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E"/>
  </w:style>
  <w:style w:type="paragraph" w:styleId="Footer">
    <w:name w:val="footer"/>
    <w:basedOn w:val="Normal"/>
    <w:link w:val="Foot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inmarketc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47D0-D6C7-4550-8DD8-F5ABFD68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3561</Words>
  <Characters>20300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3</cp:revision>
  <dcterms:created xsi:type="dcterms:W3CDTF">2021-11-22T09:31:00Z</dcterms:created>
  <dcterms:modified xsi:type="dcterms:W3CDTF">2022-09-15T11:11:00Z</dcterms:modified>
</cp:coreProperties>
</file>